
<file path=[Content_Types].xml><?xml version="1.0" encoding="utf-8"?>
<Types xmlns="http://schemas.openxmlformats.org/package/2006/content-types">
  <Default Extension="emf" ContentType="image/x-emf"/>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694EE7" w14:textId="77777777" w:rsidR="002E5ED2" w:rsidRDefault="002E5ED2" w:rsidP="00AC7F8A">
      <w:pPr>
        <w:pStyle w:val="Texto"/>
        <w:spacing w:after="0" w:line="240" w:lineRule="exact"/>
        <w:jc w:val="center"/>
        <w:rPr>
          <w:b/>
          <w:szCs w:val="18"/>
        </w:rPr>
      </w:pPr>
    </w:p>
    <w:p w14:paraId="620EF8C6" w14:textId="77777777" w:rsidR="00AC7F8A" w:rsidRPr="00630DB0" w:rsidRDefault="00AC7F8A" w:rsidP="00AC7F8A">
      <w:pPr>
        <w:pStyle w:val="Texto"/>
        <w:spacing w:after="0" w:line="240" w:lineRule="exact"/>
        <w:jc w:val="center"/>
        <w:rPr>
          <w:b/>
          <w:szCs w:val="18"/>
        </w:rPr>
      </w:pPr>
      <w:r w:rsidRPr="00630DB0">
        <w:rPr>
          <w:b/>
          <w:szCs w:val="18"/>
        </w:rPr>
        <w:t>NOTAS A LOS ESTADOS FINANCIEROS</w:t>
      </w:r>
    </w:p>
    <w:p w14:paraId="620EF8C7" w14:textId="77777777" w:rsidR="00AC7F8A" w:rsidRDefault="00AC7F8A" w:rsidP="00AC7F8A">
      <w:pPr>
        <w:pStyle w:val="Texto"/>
        <w:spacing w:after="0" w:line="240" w:lineRule="exact"/>
        <w:jc w:val="center"/>
        <w:rPr>
          <w:b/>
          <w:szCs w:val="18"/>
        </w:rPr>
      </w:pPr>
    </w:p>
    <w:p w14:paraId="620EF8C8" w14:textId="77777777" w:rsidR="00AC7F8A" w:rsidRPr="00630DB0" w:rsidRDefault="00AC7F8A" w:rsidP="00AC7F8A">
      <w:pPr>
        <w:pStyle w:val="Texto"/>
        <w:spacing w:after="0" w:line="240" w:lineRule="exact"/>
        <w:jc w:val="center"/>
        <w:rPr>
          <w:szCs w:val="18"/>
        </w:rPr>
      </w:pPr>
      <w:r w:rsidRPr="00630DB0">
        <w:rPr>
          <w:b/>
          <w:szCs w:val="18"/>
        </w:rPr>
        <w:t>a) NOTAS DE DESGLOSE</w:t>
      </w:r>
    </w:p>
    <w:p w14:paraId="620EF8C9" w14:textId="77777777" w:rsidR="00AC7F8A" w:rsidRPr="00630DB0" w:rsidRDefault="00AC7F8A" w:rsidP="00AC7F8A">
      <w:pPr>
        <w:pStyle w:val="Texto"/>
        <w:spacing w:after="0" w:line="240" w:lineRule="exact"/>
        <w:rPr>
          <w:szCs w:val="18"/>
          <w:lang w:val="es-MX"/>
        </w:rPr>
      </w:pPr>
    </w:p>
    <w:p w14:paraId="620EF8CA" w14:textId="77777777" w:rsidR="00AC7F8A" w:rsidRPr="00630DB0" w:rsidRDefault="00AC7F8A" w:rsidP="002E5ED2">
      <w:pPr>
        <w:pStyle w:val="INCISO"/>
        <w:spacing w:after="0" w:line="240" w:lineRule="exact"/>
        <w:ind w:left="648"/>
        <w:jc w:val="center"/>
        <w:rPr>
          <w:b/>
          <w:smallCaps/>
        </w:rPr>
      </w:pPr>
      <w:r w:rsidRPr="00630DB0">
        <w:rPr>
          <w:b/>
          <w:smallCaps/>
        </w:rPr>
        <w:t>I)</w:t>
      </w:r>
      <w:r w:rsidRPr="00630DB0">
        <w:rPr>
          <w:b/>
          <w:smallCaps/>
        </w:rPr>
        <w:tab/>
        <w:t>Notas al Estado de Situación Financiera</w:t>
      </w:r>
    </w:p>
    <w:p w14:paraId="620EF8CB" w14:textId="77777777" w:rsidR="00AC7F8A" w:rsidRPr="00630DB0" w:rsidRDefault="00AC7F8A" w:rsidP="00AC7F8A">
      <w:pPr>
        <w:pStyle w:val="Texto"/>
        <w:spacing w:after="0" w:line="240" w:lineRule="exact"/>
        <w:rPr>
          <w:b/>
          <w:szCs w:val="18"/>
          <w:lang w:val="es-MX"/>
        </w:rPr>
      </w:pPr>
    </w:p>
    <w:p w14:paraId="620EF8CC" w14:textId="77777777" w:rsidR="00AC7F8A" w:rsidRPr="00630DB0" w:rsidRDefault="00AC7F8A" w:rsidP="00AC7F8A">
      <w:pPr>
        <w:pStyle w:val="Texto"/>
        <w:spacing w:after="0" w:line="240" w:lineRule="exact"/>
        <w:rPr>
          <w:b/>
          <w:szCs w:val="18"/>
          <w:lang w:val="es-MX"/>
        </w:rPr>
      </w:pPr>
      <w:r w:rsidRPr="00630DB0">
        <w:rPr>
          <w:b/>
          <w:szCs w:val="18"/>
          <w:lang w:val="es-MX"/>
        </w:rPr>
        <w:t>Activo</w:t>
      </w:r>
    </w:p>
    <w:p w14:paraId="620EF8CD" w14:textId="77777777" w:rsidR="00AC7F8A" w:rsidRDefault="00AC7F8A" w:rsidP="00AC7F8A">
      <w:pPr>
        <w:pStyle w:val="Texto"/>
        <w:spacing w:after="0" w:line="240" w:lineRule="exact"/>
        <w:rPr>
          <w:b/>
          <w:szCs w:val="18"/>
          <w:lang w:val="es-MX"/>
        </w:rPr>
      </w:pPr>
    </w:p>
    <w:p w14:paraId="620EF8CE" w14:textId="77777777" w:rsidR="002644BD" w:rsidRPr="00630DB0" w:rsidRDefault="002644BD" w:rsidP="00AC7F8A">
      <w:pPr>
        <w:pStyle w:val="Texto"/>
        <w:spacing w:after="0" w:line="240" w:lineRule="exact"/>
        <w:rPr>
          <w:b/>
          <w:szCs w:val="18"/>
          <w:lang w:val="es-MX"/>
        </w:rPr>
      </w:pPr>
    </w:p>
    <w:p w14:paraId="620EF8CF" w14:textId="77777777" w:rsidR="00AC7F8A" w:rsidRPr="00630DB0" w:rsidRDefault="00AC7F8A" w:rsidP="00AC7F8A">
      <w:pPr>
        <w:pStyle w:val="Texto"/>
        <w:spacing w:after="0" w:line="240" w:lineRule="exact"/>
        <w:ind w:firstLine="706"/>
        <w:rPr>
          <w:b/>
          <w:szCs w:val="18"/>
          <w:lang w:val="es-MX"/>
        </w:rPr>
      </w:pPr>
      <w:r w:rsidRPr="00630DB0">
        <w:rPr>
          <w:b/>
          <w:szCs w:val="18"/>
          <w:lang w:val="es-MX"/>
        </w:rPr>
        <w:t>Efectivo y Equivalentes</w:t>
      </w:r>
    </w:p>
    <w:p w14:paraId="620EF8D0" w14:textId="0FEBF302" w:rsidR="00AC7F8A" w:rsidRPr="00BC5F50" w:rsidRDefault="00AC7F8A" w:rsidP="00BC5F50">
      <w:pPr>
        <w:ind w:left="709"/>
        <w:jc w:val="both"/>
        <w:rPr>
          <w:rFonts w:ascii="Arial" w:hAnsi="Arial" w:cs="Arial"/>
          <w:sz w:val="18"/>
          <w:szCs w:val="18"/>
        </w:rPr>
      </w:pPr>
      <w:r w:rsidRPr="00BC5F50">
        <w:rPr>
          <w:rFonts w:ascii="Arial" w:hAnsi="Arial" w:cs="Arial"/>
          <w:sz w:val="18"/>
          <w:szCs w:val="18"/>
        </w:rPr>
        <w:t xml:space="preserve">El saldo de </w:t>
      </w:r>
      <w:r w:rsidR="00AF7427" w:rsidRPr="00BC5F50">
        <w:rPr>
          <w:rFonts w:ascii="Arial" w:hAnsi="Arial" w:cs="Arial"/>
          <w:sz w:val="18"/>
          <w:szCs w:val="18"/>
        </w:rPr>
        <w:t>este</w:t>
      </w:r>
      <w:r w:rsidRPr="00BC5F50">
        <w:rPr>
          <w:rFonts w:ascii="Arial" w:hAnsi="Arial" w:cs="Arial"/>
          <w:sz w:val="18"/>
          <w:szCs w:val="18"/>
        </w:rPr>
        <w:t xml:space="preserve"> rubro representa el valor total de dinero a nombre de Salud de Tlaxcala depositado en instituciones bancarias, el cual asciende a $ </w:t>
      </w:r>
      <w:r w:rsidR="0006654C">
        <w:rPr>
          <w:rFonts w:ascii="Arial" w:hAnsi="Arial" w:cs="Arial"/>
          <w:sz w:val="18"/>
          <w:szCs w:val="18"/>
        </w:rPr>
        <w:t>83</w:t>
      </w:r>
      <w:r w:rsidR="007F4D46">
        <w:rPr>
          <w:rFonts w:ascii="Arial" w:hAnsi="Arial" w:cs="Arial"/>
          <w:sz w:val="18"/>
          <w:szCs w:val="18"/>
        </w:rPr>
        <w:t>9</w:t>
      </w:r>
      <w:r w:rsidR="001A5B66">
        <w:rPr>
          <w:rFonts w:ascii="Arial" w:hAnsi="Arial" w:cs="Arial"/>
          <w:sz w:val="18"/>
          <w:szCs w:val="18"/>
        </w:rPr>
        <w:t>,</w:t>
      </w:r>
      <w:r w:rsidR="007F4D46">
        <w:rPr>
          <w:rFonts w:ascii="Arial" w:hAnsi="Arial" w:cs="Arial"/>
          <w:sz w:val="18"/>
          <w:szCs w:val="18"/>
        </w:rPr>
        <w:t>176</w:t>
      </w:r>
      <w:r w:rsidR="001A5B66">
        <w:rPr>
          <w:rFonts w:ascii="Arial" w:hAnsi="Arial" w:cs="Arial"/>
          <w:sz w:val="18"/>
          <w:szCs w:val="18"/>
        </w:rPr>
        <w:t>,</w:t>
      </w:r>
      <w:r w:rsidR="007F4D46">
        <w:rPr>
          <w:rFonts w:ascii="Arial" w:hAnsi="Arial" w:cs="Arial"/>
          <w:sz w:val="18"/>
          <w:szCs w:val="18"/>
        </w:rPr>
        <w:t>602</w:t>
      </w:r>
      <w:r w:rsidR="001A5B66" w:rsidRPr="001A5B66">
        <w:rPr>
          <w:rFonts w:ascii="Arial" w:hAnsi="Arial" w:cs="Arial"/>
          <w:sz w:val="18"/>
          <w:szCs w:val="18"/>
        </w:rPr>
        <w:t>.</w:t>
      </w:r>
      <w:r w:rsidR="007F4D46">
        <w:rPr>
          <w:rFonts w:ascii="Arial" w:hAnsi="Arial" w:cs="Arial"/>
          <w:sz w:val="18"/>
          <w:szCs w:val="18"/>
        </w:rPr>
        <w:t>43</w:t>
      </w:r>
      <w:r w:rsidRPr="00BC5F50">
        <w:rPr>
          <w:rFonts w:ascii="Arial" w:hAnsi="Arial" w:cs="Arial"/>
          <w:sz w:val="18"/>
          <w:szCs w:val="18"/>
        </w:rPr>
        <w:t xml:space="preserve">, y que está destinado para el </w:t>
      </w:r>
      <w:r w:rsidR="0072046B">
        <w:rPr>
          <w:rFonts w:ascii="Arial" w:hAnsi="Arial" w:cs="Arial"/>
          <w:sz w:val="18"/>
          <w:szCs w:val="18"/>
        </w:rPr>
        <w:t xml:space="preserve">gasto de operación y objetivo </w:t>
      </w:r>
      <w:r w:rsidRPr="00BC5F50">
        <w:rPr>
          <w:rFonts w:ascii="Arial" w:hAnsi="Arial" w:cs="Arial"/>
          <w:sz w:val="18"/>
          <w:szCs w:val="18"/>
        </w:rPr>
        <w:t xml:space="preserve">de </w:t>
      </w:r>
      <w:r w:rsidR="00AF7427" w:rsidRPr="00BC5F50">
        <w:rPr>
          <w:rFonts w:ascii="Arial" w:hAnsi="Arial" w:cs="Arial"/>
          <w:sz w:val="18"/>
          <w:szCs w:val="18"/>
        </w:rPr>
        <w:t>este</w:t>
      </w:r>
      <w:r w:rsidRPr="00BC5F50">
        <w:rPr>
          <w:rFonts w:ascii="Arial" w:hAnsi="Arial" w:cs="Arial"/>
          <w:sz w:val="18"/>
          <w:szCs w:val="18"/>
        </w:rPr>
        <w:t xml:space="preserve"> Organismo Público, tales como, sueldos y prestaciones, adquisición de bienes y servicios, el entero de impuestos y retenciones realizadas a los trabajadores</w:t>
      </w:r>
      <w:r w:rsidR="003A1877">
        <w:rPr>
          <w:rFonts w:ascii="Arial" w:hAnsi="Arial" w:cs="Arial"/>
          <w:sz w:val="18"/>
          <w:szCs w:val="18"/>
        </w:rPr>
        <w:t>, asi como los</w:t>
      </w:r>
      <w:r w:rsidRPr="00BC5F50">
        <w:rPr>
          <w:rFonts w:ascii="Arial" w:hAnsi="Arial" w:cs="Arial"/>
          <w:sz w:val="18"/>
          <w:szCs w:val="18"/>
        </w:rPr>
        <w:t xml:space="preserve"> compromisos adquiridos con terceros. Estos recursos son obtenidos principalmente por aportaciones federales, recursos federales convenidos y participaciones</w:t>
      </w:r>
      <w:r w:rsidR="000F7C75" w:rsidRPr="00BC5F50">
        <w:rPr>
          <w:rFonts w:ascii="Arial" w:hAnsi="Arial" w:cs="Arial"/>
          <w:sz w:val="18"/>
          <w:szCs w:val="18"/>
        </w:rPr>
        <w:t>, las cuentas bancarias son productivas y no se tienen cuentas de inversión.</w:t>
      </w:r>
    </w:p>
    <w:p w14:paraId="620EF8D1" w14:textId="77777777" w:rsidR="00AC7F8A" w:rsidRDefault="00AC7F8A" w:rsidP="00AC7F8A">
      <w:pPr>
        <w:pStyle w:val="ROMANOS"/>
        <w:spacing w:after="0" w:line="240" w:lineRule="exact"/>
        <w:rPr>
          <w:lang w:val="es-MX"/>
        </w:rPr>
      </w:pPr>
    </w:p>
    <w:p w14:paraId="620EF8D2" w14:textId="77777777" w:rsidR="002644BD" w:rsidRPr="00630DB0" w:rsidRDefault="002644BD" w:rsidP="00AC7F8A">
      <w:pPr>
        <w:pStyle w:val="ROMANOS"/>
        <w:spacing w:after="0" w:line="240" w:lineRule="exact"/>
        <w:rPr>
          <w:lang w:val="es-MX"/>
        </w:rPr>
      </w:pPr>
    </w:p>
    <w:p w14:paraId="620EF8D3" w14:textId="77777777" w:rsidR="00AC7F8A" w:rsidRPr="00975301" w:rsidRDefault="00AC7F8A" w:rsidP="00AC7F8A">
      <w:pPr>
        <w:pStyle w:val="ROMANOS"/>
        <w:spacing w:after="0" w:line="240" w:lineRule="exact"/>
        <w:rPr>
          <w:b/>
          <w:lang w:val="es-MX"/>
        </w:rPr>
      </w:pPr>
      <w:r w:rsidRPr="00630DB0">
        <w:rPr>
          <w:b/>
          <w:lang w:val="es-MX"/>
        </w:rPr>
        <w:tab/>
      </w:r>
      <w:r w:rsidRPr="00975301">
        <w:rPr>
          <w:b/>
          <w:lang w:val="es-MX"/>
        </w:rPr>
        <w:t>Derechos a recibir Efectivo y Equivalentes y Bienes o Servicios a Recibir</w:t>
      </w:r>
    </w:p>
    <w:p w14:paraId="620EF8D5" w14:textId="2BF81F9F" w:rsidR="00AC7F8A" w:rsidRDefault="00AC7F8A" w:rsidP="00BC5F50">
      <w:pPr>
        <w:autoSpaceDE w:val="0"/>
        <w:autoSpaceDN w:val="0"/>
        <w:adjustRightInd w:val="0"/>
        <w:spacing w:after="0" w:line="240" w:lineRule="auto"/>
        <w:ind w:firstLine="708"/>
      </w:pPr>
      <w:r w:rsidRPr="00975301">
        <w:rPr>
          <w:rFonts w:ascii="ArialMT" w:hAnsi="ArialMT" w:cs="ArialMT"/>
          <w:sz w:val="18"/>
          <w:szCs w:val="18"/>
          <w:lang w:val="es-ES"/>
        </w:rPr>
        <w:t xml:space="preserve">Su saldo representa un derecho de cobro en favor de </w:t>
      </w:r>
      <w:r w:rsidR="00AF7427" w:rsidRPr="00975301">
        <w:rPr>
          <w:rFonts w:ascii="ArialMT" w:hAnsi="ArialMT" w:cs="ArialMT"/>
          <w:sz w:val="18"/>
          <w:szCs w:val="18"/>
          <w:lang w:val="es-ES"/>
        </w:rPr>
        <w:t>este</w:t>
      </w:r>
      <w:r w:rsidRPr="00975301">
        <w:rPr>
          <w:rFonts w:ascii="ArialMT" w:hAnsi="ArialMT" w:cs="ArialMT"/>
          <w:sz w:val="18"/>
          <w:szCs w:val="18"/>
          <w:lang w:val="es-ES"/>
        </w:rPr>
        <w:t xml:space="preserve"> Organismo, </w:t>
      </w:r>
      <w:r w:rsidR="00BC5F50">
        <w:rPr>
          <w:rFonts w:ascii="ArialMT" w:hAnsi="ArialMT" w:cs="ArialMT"/>
          <w:sz w:val="18"/>
          <w:szCs w:val="18"/>
          <w:lang w:val="es-ES"/>
        </w:rPr>
        <w:t>y</w:t>
      </w:r>
      <w:r w:rsidRPr="00975301">
        <w:t xml:space="preserve"> se integra de la siguiente manera:</w:t>
      </w:r>
    </w:p>
    <w:p w14:paraId="528FA558" w14:textId="77777777" w:rsidR="000F7C75" w:rsidRDefault="000F7C75" w:rsidP="00AC7F8A">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5229"/>
        <w:gridCol w:w="1984"/>
      </w:tblGrid>
      <w:tr w:rsidR="00BC5F50" w:rsidRPr="00BC5F50" w14:paraId="1F1552A0" w14:textId="77777777" w:rsidTr="00AF7BC4">
        <w:trPr>
          <w:jc w:val="center"/>
        </w:trPr>
        <w:tc>
          <w:tcPr>
            <w:tcW w:w="5229" w:type="dxa"/>
          </w:tcPr>
          <w:p w14:paraId="2C6AFDDE" w14:textId="18EDE3AD" w:rsidR="00BC5F50" w:rsidRPr="00BC5F50" w:rsidRDefault="00BC5F50" w:rsidP="00AC7F8A">
            <w:pPr>
              <w:pStyle w:val="ROMANOS"/>
              <w:spacing w:after="0" w:line="240" w:lineRule="exact"/>
              <w:ind w:left="0" w:firstLine="0"/>
              <w:rPr>
                <w:lang w:val="es-MX"/>
              </w:rPr>
            </w:pPr>
            <w:r w:rsidRPr="00BC5F50">
              <w:rPr>
                <w:lang w:val="es-MX"/>
              </w:rPr>
              <w:t>Descripción</w:t>
            </w:r>
          </w:p>
        </w:tc>
        <w:tc>
          <w:tcPr>
            <w:tcW w:w="1984" w:type="dxa"/>
            <w:tcBorders>
              <w:bottom w:val="single" w:sz="4" w:space="0" w:color="auto"/>
            </w:tcBorders>
          </w:tcPr>
          <w:p w14:paraId="3B289628" w14:textId="53A697CB" w:rsidR="00BC5F50" w:rsidRPr="00BC5F50" w:rsidRDefault="005C0FD1" w:rsidP="00BD71CE">
            <w:pPr>
              <w:pStyle w:val="ROMANOS"/>
              <w:spacing w:after="0" w:line="240" w:lineRule="exact"/>
              <w:ind w:left="0" w:firstLine="0"/>
              <w:jc w:val="center"/>
              <w:rPr>
                <w:lang w:val="es-MX"/>
              </w:rPr>
            </w:pPr>
            <w:r>
              <w:rPr>
                <w:lang w:val="es-MX"/>
              </w:rPr>
              <w:t>Importe</w:t>
            </w:r>
          </w:p>
        </w:tc>
      </w:tr>
      <w:tr w:rsidR="007F4D46" w:rsidRPr="00BC5F50" w14:paraId="39C7CE1F" w14:textId="77777777" w:rsidTr="005C093D">
        <w:trPr>
          <w:jc w:val="center"/>
        </w:trPr>
        <w:tc>
          <w:tcPr>
            <w:tcW w:w="5229" w:type="dxa"/>
            <w:vAlign w:val="bottom"/>
          </w:tcPr>
          <w:p w14:paraId="100F92A7" w14:textId="5B10D698" w:rsidR="007F4D46" w:rsidRPr="00BC5F50" w:rsidRDefault="007F4D46" w:rsidP="007F4D46">
            <w:pPr>
              <w:pStyle w:val="ROMANOS"/>
              <w:spacing w:after="0" w:line="240" w:lineRule="exact"/>
              <w:ind w:left="0" w:firstLine="0"/>
              <w:rPr>
                <w:lang w:val="es-MX"/>
              </w:rPr>
            </w:pPr>
            <w:r w:rsidRPr="00BC5F50">
              <w:rPr>
                <w:color w:val="000000"/>
              </w:rPr>
              <w:t>Cuentas por cobrar a corto plazo</w:t>
            </w:r>
          </w:p>
        </w:tc>
        <w:tc>
          <w:tcPr>
            <w:tcW w:w="1984" w:type="dxa"/>
            <w:tcBorders>
              <w:top w:val="single" w:sz="4" w:space="0" w:color="auto"/>
              <w:left w:val="nil"/>
              <w:bottom w:val="single" w:sz="4" w:space="0" w:color="auto"/>
              <w:right w:val="single" w:sz="4" w:space="0" w:color="auto"/>
            </w:tcBorders>
            <w:shd w:val="clear" w:color="auto" w:fill="auto"/>
          </w:tcPr>
          <w:p w14:paraId="14631FCE" w14:textId="035A7F65" w:rsidR="007F4D46" w:rsidRPr="003C3F18" w:rsidRDefault="007F4D46" w:rsidP="007F4D46">
            <w:pPr>
              <w:pStyle w:val="ROMANOS"/>
              <w:spacing w:after="0" w:line="240" w:lineRule="exact"/>
              <w:ind w:left="0" w:firstLine="0"/>
              <w:jc w:val="right"/>
              <w:rPr>
                <w:noProof/>
                <w:color w:val="000000"/>
              </w:rPr>
            </w:pPr>
            <w:r w:rsidRPr="005A6E46">
              <w:t>6,118,491.71</w:t>
            </w:r>
          </w:p>
        </w:tc>
      </w:tr>
      <w:tr w:rsidR="007F4D46" w:rsidRPr="00BC5F50" w14:paraId="1FC4B1D6" w14:textId="77777777" w:rsidTr="005C093D">
        <w:trPr>
          <w:jc w:val="center"/>
        </w:trPr>
        <w:tc>
          <w:tcPr>
            <w:tcW w:w="5229" w:type="dxa"/>
            <w:vAlign w:val="bottom"/>
          </w:tcPr>
          <w:p w14:paraId="2FF43B3A" w14:textId="5BFC7303" w:rsidR="007F4D46" w:rsidRPr="00BC5F50" w:rsidRDefault="007F4D46" w:rsidP="007F4D46">
            <w:pPr>
              <w:pStyle w:val="ROMANOS"/>
              <w:spacing w:after="0" w:line="240" w:lineRule="exact"/>
              <w:ind w:left="0" w:firstLine="0"/>
              <w:rPr>
                <w:lang w:val="es-MX"/>
              </w:rPr>
            </w:pPr>
            <w:r w:rsidRPr="00BC5F50">
              <w:rPr>
                <w:color w:val="000000"/>
              </w:rPr>
              <w:t>Deudores diversos por cobrar a corto plazo</w:t>
            </w:r>
          </w:p>
        </w:tc>
        <w:tc>
          <w:tcPr>
            <w:tcW w:w="1984" w:type="dxa"/>
            <w:tcBorders>
              <w:top w:val="single" w:sz="4" w:space="0" w:color="auto"/>
              <w:left w:val="nil"/>
              <w:bottom w:val="single" w:sz="4" w:space="0" w:color="auto"/>
              <w:right w:val="single" w:sz="4" w:space="0" w:color="auto"/>
            </w:tcBorders>
            <w:shd w:val="clear" w:color="auto" w:fill="auto"/>
          </w:tcPr>
          <w:p w14:paraId="4790F99C" w14:textId="49ECCAF9" w:rsidR="007F4D46" w:rsidRPr="003C3F18" w:rsidRDefault="007F4D46" w:rsidP="007F4D46">
            <w:pPr>
              <w:pStyle w:val="ROMANOS"/>
              <w:spacing w:after="0" w:line="240" w:lineRule="exact"/>
              <w:ind w:left="0" w:firstLine="0"/>
              <w:jc w:val="right"/>
              <w:rPr>
                <w:noProof/>
                <w:color w:val="000000"/>
              </w:rPr>
            </w:pPr>
            <w:r w:rsidRPr="005A6E46">
              <w:t>3,371,102.83</w:t>
            </w:r>
          </w:p>
        </w:tc>
      </w:tr>
      <w:tr w:rsidR="007F4D46" w:rsidRPr="00BC5F50" w14:paraId="2AD8D5DA" w14:textId="77777777" w:rsidTr="005C093D">
        <w:trPr>
          <w:jc w:val="center"/>
        </w:trPr>
        <w:tc>
          <w:tcPr>
            <w:tcW w:w="5229" w:type="dxa"/>
            <w:vAlign w:val="bottom"/>
          </w:tcPr>
          <w:p w14:paraId="423F8BD1" w14:textId="7071096F" w:rsidR="007F4D46" w:rsidRPr="00BC5F50" w:rsidRDefault="007F4D46" w:rsidP="007F4D46">
            <w:pPr>
              <w:pStyle w:val="ROMANOS"/>
              <w:spacing w:after="0" w:line="240" w:lineRule="exact"/>
              <w:ind w:left="0" w:firstLine="0"/>
              <w:rPr>
                <w:lang w:val="es-MX"/>
              </w:rPr>
            </w:pPr>
            <w:r w:rsidRPr="00BC5F50">
              <w:rPr>
                <w:color w:val="000000"/>
              </w:rPr>
              <w:t>Ingresos por recuperar a corto plazo</w:t>
            </w:r>
          </w:p>
        </w:tc>
        <w:tc>
          <w:tcPr>
            <w:tcW w:w="1984" w:type="dxa"/>
            <w:tcBorders>
              <w:top w:val="single" w:sz="4" w:space="0" w:color="auto"/>
              <w:left w:val="nil"/>
              <w:bottom w:val="single" w:sz="4" w:space="0" w:color="auto"/>
              <w:right w:val="single" w:sz="4" w:space="0" w:color="auto"/>
            </w:tcBorders>
            <w:shd w:val="clear" w:color="auto" w:fill="auto"/>
          </w:tcPr>
          <w:p w14:paraId="1AE3A90B" w14:textId="0029F654" w:rsidR="007F4D46" w:rsidRPr="003C3F18" w:rsidRDefault="007F4D46" w:rsidP="007F4D46">
            <w:pPr>
              <w:pStyle w:val="ROMANOS"/>
              <w:spacing w:after="0" w:line="240" w:lineRule="exact"/>
              <w:ind w:left="0" w:firstLine="0"/>
              <w:jc w:val="right"/>
              <w:rPr>
                <w:noProof/>
                <w:color w:val="000000"/>
              </w:rPr>
            </w:pPr>
            <w:r w:rsidRPr="005A6E46">
              <w:t>0</w:t>
            </w:r>
          </w:p>
        </w:tc>
      </w:tr>
      <w:tr w:rsidR="007F4D46" w:rsidRPr="00BC5F50" w14:paraId="5C8689F6" w14:textId="77777777" w:rsidTr="005C093D">
        <w:trPr>
          <w:jc w:val="center"/>
        </w:trPr>
        <w:tc>
          <w:tcPr>
            <w:tcW w:w="5229" w:type="dxa"/>
            <w:vAlign w:val="bottom"/>
          </w:tcPr>
          <w:p w14:paraId="5B807B5B" w14:textId="1598E1F1" w:rsidR="007F4D46" w:rsidRPr="00BC5F50" w:rsidRDefault="007F4D46" w:rsidP="007F4D46">
            <w:pPr>
              <w:pStyle w:val="ROMANOS"/>
              <w:spacing w:after="0" w:line="240" w:lineRule="exact"/>
              <w:ind w:left="0" w:firstLine="0"/>
              <w:rPr>
                <w:lang w:val="es-MX"/>
              </w:rPr>
            </w:pPr>
            <w:r w:rsidRPr="00BC5F50">
              <w:rPr>
                <w:color w:val="000000"/>
              </w:rPr>
              <w:t>Deudores por anticipos de la tesorería a corto plazo</w:t>
            </w:r>
          </w:p>
        </w:tc>
        <w:tc>
          <w:tcPr>
            <w:tcW w:w="1984" w:type="dxa"/>
            <w:tcBorders>
              <w:top w:val="single" w:sz="4" w:space="0" w:color="auto"/>
              <w:left w:val="nil"/>
              <w:bottom w:val="single" w:sz="4" w:space="0" w:color="auto"/>
              <w:right w:val="single" w:sz="4" w:space="0" w:color="auto"/>
            </w:tcBorders>
            <w:shd w:val="clear" w:color="auto" w:fill="auto"/>
          </w:tcPr>
          <w:p w14:paraId="6B093D6E" w14:textId="5ACE212D" w:rsidR="007F4D46" w:rsidRPr="003C3F18" w:rsidRDefault="007F4D46" w:rsidP="007F4D46">
            <w:pPr>
              <w:pStyle w:val="ROMANOS"/>
              <w:spacing w:after="0" w:line="240" w:lineRule="exact"/>
              <w:ind w:left="0" w:firstLine="0"/>
              <w:jc w:val="right"/>
              <w:rPr>
                <w:noProof/>
                <w:color w:val="000000"/>
              </w:rPr>
            </w:pPr>
            <w:r w:rsidRPr="005A6E46">
              <w:t>479,295.93</w:t>
            </w:r>
          </w:p>
        </w:tc>
      </w:tr>
      <w:tr w:rsidR="007F4D46" w:rsidRPr="00BC5F50" w14:paraId="1447845A" w14:textId="77777777" w:rsidTr="005C093D">
        <w:trPr>
          <w:jc w:val="center"/>
        </w:trPr>
        <w:tc>
          <w:tcPr>
            <w:tcW w:w="5229" w:type="dxa"/>
            <w:vAlign w:val="bottom"/>
          </w:tcPr>
          <w:p w14:paraId="413B3C26" w14:textId="22E6E928" w:rsidR="007F4D46" w:rsidRPr="00BC5F50" w:rsidRDefault="007F4D46" w:rsidP="007F4D46">
            <w:pPr>
              <w:pStyle w:val="ROMANOS"/>
              <w:spacing w:after="0" w:line="240" w:lineRule="exact"/>
              <w:ind w:left="0" w:firstLine="0"/>
              <w:rPr>
                <w:lang w:val="es-MX"/>
              </w:rPr>
            </w:pPr>
            <w:r w:rsidRPr="00BC5F50">
              <w:rPr>
                <w:color w:val="000000"/>
              </w:rPr>
              <w:t>Otros derechos a recibir efectivo o equivalentes a corto plazo</w:t>
            </w:r>
          </w:p>
        </w:tc>
        <w:tc>
          <w:tcPr>
            <w:tcW w:w="1984" w:type="dxa"/>
            <w:tcBorders>
              <w:top w:val="single" w:sz="4" w:space="0" w:color="auto"/>
              <w:left w:val="nil"/>
              <w:bottom w:val="single" w:sz="4" w:space="0" w:color="auto"/>
              <w:right w:val="single" w:sz="4" w:space="0" w:color="auto"/>
            </w:tcBorders>
            <w:shd w:val="clear" w:color="auto" w:fill="auto"/>
          </w:tcPr>
          <w:p w14:paraId="186FCE3C" w14:textId="76585D2E" w:rsidR="007F4D46" w:rsidRPr="003C3F18" w:rsidRDefault="007F4D46" w:rsidP="007F4D46">
            <w:pPr>
              <w:pStyle w:val="ROMANOS"/>
              <w:spacing w:after="0" w:line="240" w:lineRule="exact"/>
              <w:ind w:left="0" w:firstLine="0"/>
              <w:jc w:val="right"/>
              <w:rPr>
                <w:noProof/>
                <w:color w:val="000000"/>
              </w:rPr>
            </w:pPr>
            <w:r w:rsidRPr="005A6E46">
              <w:t>62,395,487.35</w:t>
            </w:r>
          </w:p>
        </w:tc>
      </w:tr>
      <w:tr w:rsidR="001A5B66" w:rsidRPr="00323DA4" w14:paraId="01DEEB90" w14:textId="77777777" w:rsidTr="00AF7BC4">
        <w:trPr>
          <w:jc w:val="center"/>
        </w:trPr>
        <w:tc>
          <w:tcPr>
            <w:tcW w:w="5229" w:type="dxa"/>
            <w:vAlign w:val="bottom"/>
          </w:tcPr>
          <w:p w14:paraId="3A66DAD3" w14:textId="6FBC6D63" w:rsidR="001A5B66" w:rsidRPr="00323DA4" w:rsidRDefault="001A5B66" w:rsidP="00AF7BC4">
            <w:pPr>
              <w:pStyle w:val="ROMANOS"/>
              <w:spacing w:after="0" w:line="240" w:lineRule="exact"/>
              <w:ind w:left="0" w:firstLine="0"/>
              <w:rPr>
                <w:b/>
                <w:color w:val="000000"/>
              </w:rPr>
            </w:pPr>
            <w:r w:rsidRPr="00323DA4">
              <w:rPr>
                <w:b/>
                <w:color w:val="000000"/>
              </w:rPr>
              <w:t>Suma</w:t>
            </w:r>
          </w:p>
        </w:tc>
        <w:tc>
          <w:tcPr>
            <w:tcW w:w="1984" w:type="dxa"/>
            <w:tcBorders>
              <w:top w:val="single" w:sz="4" w:space="0" w:color="auto"/>
              <w:left w:val="nil"/>
              <w:bottom w:val="single" w:sz="4" w:space="0" w:color="auto"/>
              <w:right w:val="single" w:sz="4" w:space="0" w:color="auto"/>
            </w:tcBorders>
            <w:shd w:val="clear" w:color="auto" w:fill="auto"/>
            <w:vAlign w:val="bottom"/>
          </w:tcPr>
          <w:p w14:paraId="16E59DAE" w14:textId="58592EB8" w:rsidR="001A5B66" w:rsidRPr="00323DA4" w:rsidRDefault="007F4D46" w:rsidP="001A5B66">
            <w:pPr>
              <w:pStyle w:val="ROMANOS"/>
              <w:spacing w:after="0" w:line="240" w:lineRule="exact"/>
              <w:ind w:left="0" w:firstLine="0"/>
              <w:jc w:val="right"/>
              <w:rPr>
                <w:b/>
                <w:color w:val="000000"/>
              </w:rPr>
            </w:pPr>
            <w:r>
              <w:rPr>
                <w:b/>
                <w:color w:val="000000"/>
              </w:rPr>
              <w:fldChar w:fldCharType="begin"/>
            </w:r>
            <w:r>
              <w:rPr>
                <w:b/>
                <w:color w:val="000000"/>
              </w:rPr>
              <w:instrText xml:space="preserve"> =SUM(ABOVE) </w:instrText>
            </w:r>
            <w:r>
              <w:rPr>
                <w:b/>
                <w:color w:val="000000"/>
              </w:rPr>
              <w:fldChar w:fldCharType="separate"/>
            </w:r>
            <w:r>
              <w:rPr>
                <w:b/>
                <w:noProof/>
                <w:color w:val="000000"/>
              </w:rPr>
              <w:t>72,364,377.82</w:t>
            </w:r>
            <w:r>
              <w:rPr>
                <w:b/>
                <w:color w:val="000000"/>
              </w:rPr>
              <w:fldChar w:fldCharType="end"/>
            </w:r>
          </w:p>
        </w:tc>
      </w:tr>
    </w:tbl>
    <w:p w14:paraId="620EF8D7" w14:textId="77777777" w:rsidR="00AC7F8A" w:rsidRDefault="00AC7F8A" w:rsidP="00AC7F8A">
      <w:pPr>
        <w:pStyle w:val="ROMANOS"/>
        <w:spacing w:after="0" w:line="240" w:lineRule="exact"/>
        <w:rPr>
          <w:lang w:val="es-MX"/>
        </w:rPr>
      </w:pPr>
    </w:p>
    <w:p w14:paraId="620EF8D8" w14:textId="77777777" w:rsidR="002644BD" w:rsidRPr="00630DB0" w:rsidRDefault="002644BD" w:rsidP="00AC7F8A">
      <w:pPr>
        <w:pStyle w:val="ROMANOS"/>
        <w:spacing w:after="0" w:line="240" w:lineRule="exact"/>
        <w:rPr>
          <w:lang w:val="es-MX"/>
        </w:rPr>
      </w:pPr>
    </w:p>
    <w:p w14:paraId="620EF8D9" w14:textId="0F6AC725" w:rsidR="00AC7F8A" w:rsidRPr="00630DB0" w:rsidRDefault="00AC7F8A" w:rsidP="00AC7F8A">
      <w:pPr>
        <w:pStyle w:val="ROMANOS"/>
        <w:spacing w:after="0" w:line="240" w:lineRule="exact"/>
        <w:rPr>
          <w:b/>
          <w:lang w:val="es-MX"/>
        </w:rPr>
      </w:pPr>
      <w:r w:rsidRPr="00630DB0">
        <w:rPr>
          <w:b/>
          <w:lang w:val="es-MX"/>
        </w:rPr>
        <w:tab/>
        <w:t>Bienes Disponibles para su Transformación o Consumo (inventarios)</w:t>
      </w:r>
      <w:r w:rsidR="0072046B">
        <w:rPr>
          <w:b/>
          <w:lang w:val="es-MX"/>
        </w:rPr>
        <w:t>.</w:t>
      </w:r>
    </w:p>
    <w:p w14:paraId="620EF8DB" w14:textId="077FE424" w:rsidR="00AC7F8A" w:rsidRDefault="00AC7F8A" w:rsidP="00AC7F8A">
      <w:pPr>
        <w:pStyle w:val="ROMANOS"/>
        <w:spacing w:after="0" w:line="240" w:lineRule="exact"/>
        <w:rPr>
          <w:lang w:val="es-MX"/>
        </w:rPr>
      </w:pPr>
      <w:r>
        <w:rPr>
          <w:lang w:val="es-MX"/>
        </w:rPr>
        <w:tab/>
      </w:r>
      <w:r w:rsidR="005C0FD1">
        <w:rPr>
          <w:lang w:val="es-MX"/>
        </w:rPr>
        <w:t xml:space="preserve">La </w:t>
      </w:r>
      <w:r w:rsidR="005C0FD1" w:rsidRPr="002B3AF4">
        <w:t>Secretar</w:t>
      </w:r>
      <w:r w:rsidR="005C0FD1">
        <w:t>ía</w:t>
      </w:r>
      <w:r w:rsidR="005C0FD1" w:rsidRPr="002B3AF4">
        <w:t xml:space="preserve"> de Salud y O.P.D. Salud de Tlaxcala</w:t>
      </w:r>
      <w:r w:rsidR="005C0FD1" w:rsidRPr="002B3AF4">
        <w:rPr>
          <w:lang w:val="es-MX"/>
        </w:rPr>
        <w:t xml:space="preserve"> </w:t>
      </w:r>
      <w:r w:rsidR="005C0FD1">
        <w:rPr>
          <w:lang w:val="es-MX"/>
        </w:rPr>
        <w:t xml:space="preserve">realiza el registro de adquisición de bienes y suministros sin afectar la cuenta de almacén, sin embargo, </w:t>
      </w:r>
      <w:r w:rsidRPr="00BB0B8C">
        <w:rPr>
          <w:lang w:val="es-MX"/>
        </w:rPr>
        <w:t xml:space="preserve">reconoce </w:t>
      </w:r>
      <w:r w:rsidR="005C0FD1">
        <w:rPr>
          <w:lang w:val="es-MX"/>
        </w:rPr>
        <w:t xml:space="preserve">el valor de las existencias de bienes disponibles para su consumo </w:t>
      </w:r>
      <w:r w:rsidRPr="00BB0B8C">
        <w:rPr>
          <w:lang w:val="es-MX"/>
        </w:rPr>
        <w:t xml:space="preserve">a través de cuentas de orden </w:t>
      </w:r>
      <w:r w:rsidR="005C0FD1">
        <w:rPr>
          <w:lang w:val="es-MX"/>
        </w:rPr>
        <w:t>contables</w:t>
      </w:r>
      <w:r w:rsidRPr="00BB0B8C">
        <w:rPr>
          <w:lang w:val="es-MX"/>
        </w:rPr>
        <w:t>.</w:t>
      </w:r>
    </w:p>
    <w:p w14:paraId="620EF8DC" w14:textId="77777777" w:rsidR="00AC7F8A" w:rsidRDefault="00AC7F8A" w:rsidP="00AC7F8A">
      <w:pPr>
        <w:pStyle w:val="ROMANOS"/>
        <w:spacing w:after="0" w:line="240" w:lineRule="exact"/>
        <w:rPr>
          <w:lang w:val="es-MX"/>
        </w:rPr>
      </w:pPr>
    </w:p>
    <w:p w14:paraId="620EF8DD" w14:textId="77777777" w:rsidR="002644BD" w:rsidRPr="00630DB0" w:rsidRDefault="002644BD" w:rsidP="00AC7F8A">
      <w:pPr>
        <w:pStyle w:val="ROMANOS"/>
        <w:spacing w:after="0" w:line="240" w:lineRule="exact"/>
        <w:rPr>
          <w:lang w:val="es-MX"/>
        </w:rPr>
      </w:pPr>
    </w:p>
    <w:p w14:paraId="620EF8DE" w14:textId="77777777" w:rsidR="00AC7F8A" w:rsidRPr="00630DB0" w:rsidRDefault="00AC7F8A" w:rsidP="00AC7F8A">
      <w:pPr>
        <w:pStyle w:val="ROMANOS"/>
        <w:spacing w:after="0" w:line="240" w:lineRule="exact"/>
        <w:rPr>
          <w:b/>
          <w:lang w:val="es-MX"/>
        </w:rPr>
      </w:pPr>
      <w:r w:rsidRPr="00630DB0">
        <w:rPr>
          <w:b/>
          <w:lang w:val="es-MX"/>
        </w:rPr>
        <w:tab/>
        <w:t>Inversiones Financieras</w:t>
      </w:r>
    </w:p>
    <w:p w14:paraId="620EF8DF" w14:textId="73B08B90"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2B3AF4">
        <w:rPr>
          <w:lang w:val="es-MX"/>
        </w:rPr>
        <w:t>o cuenta con Inversiones financieras</w:t>
      </w:r>
      <w:r w:rsidRPr="00630DB0">
        <w:rPr>
          <w:lang w:val="es-MX"/>
        </w:rPr>
        <w:t>.</w:t>
      </w:r>
    </w:p>
    <w:p w14:paraId="7C632BE8" w14:textId="06D74D1D" w:rsidR="00BA75F8" w:rsidRDefault="00BA75F8" w:rsidP="00AC7F8A">
      <w:pPr>
        <w:pStyle w:val="ROMANOS"/>
        <w:spacing w:after="0" w:line="240" w:lineRule="exact"/>
        <w:rPr>
          <w:lang w:val="es-MX"/>
        </w:rPr>
      </w:pPr>
    </w:p>
    <w:p w14:paraId="0CB5FC3F" w14:textId="77777777" w:rsidR="00BA75F8" w:rsidRDefault="00BA75F8" w:rsidP="00AC7F8A">
      <w:pPr>
        <w:pStyle w:val="ROMANOS"/>
        <w:spacing w:after="0" w:line="240" w:lineRule="exact"/>
        <w:rPr>
          <w:lang w:val="es-MX"/>
        </w:rPr>
      </w:pPr>
    </w:p>
    <w:p w14:paraId="620EF8E3" w14:textId="77777777" w:rsidR="002644BD" w:rsidRPr="00630DB0" w:rsidRDefault="002644BD" w:rsidP="00AC7F8A">
      <w:pPr>
        <w:pStyle w:val="ROMANOS"/>
        <w:spacing w:after="0" w:line="240" w:lineRule="exact"/>
        <w:rPr>
          <w:lang w:val="es-MX"/>
        </w:rPr>
      </w:pPr>
    </w:p>
    <w:p w14:paraId="620EF8E4" w14:textId="77777777" w:rsidR="00AC7F8A" w:rsidRPr="00F75314" w:rsidRDefault="00AC7F8A" w:rsidP="00AC7F8A">
      <w:pPr>
        <w:pStyle w:val="ROMANOS"/>
        <w:spacing w:after="0" w:line="240" w:lineRule="exact"/>
        <w:rPr>
          <w:b/>
          <w:lang w:val="es-MX"/>
        </w:rPr>
      </w:pPr>
      <w:r w:rsidRPr="00630DB0">
        <w:rPr>
          <w:b/>
          <w:lang w:val="es-MX"/>
        </w:rPr>
        <w:tab/>
      </w:r>
      <w:r w:rsidRPr="00F75314">
        <w:rPr>
          <w:b/>
          <w:lang w:val="es-MX"/>
        </w:rPr>
        <w:t>Bienes Muebles, Inmuebles e Intangibles</w:t>
      </w:r>
    </w:p>
    <w:p w14:paraId="620EF8E5" w14:textId="12A853FA" w:rsidR="00AC7F8A" w:rsidRDefault="004431B3" w:rsidP="00AC7F8A">
      <w:pPr>
        <w:pStyle w:val="ROMANOS"/>
        <w:spacing w:after="0" w:line="240" w:lineRule="exact"/>
        <w:rPr>
          <w:lang w:val="es-MX"/>
        </w:rPr>
      </w:pPr>
      <w:r>
        <w:rPr>
          <w:lang w:val="es-MX"/>
        </w:rPr>
        <w:tab/>
      </w:r>
      <w:r w:rsidR="00AC7F8A" w:rsidRPr="00E11756">
        <w:rPr>
          <w:lang w:val="es-MX"/>
        </w:rPr>
        <w:t>E</w:t>
      </w:r>
      <w:r w:rsidR="00BA75F8">
        <w:rPr>
          <w:lang w:val="es-MX"/>
        </w:rPr>
        <w:t>n e</w:t>
      </w:r>
      <w:r w:rsidR="00AC7F8A" w:rsidRPr="00E11756">
        <w:rPr>
          <w:lang w:val="es-MX"/>
        </w:rPr>
        <w:t xml:space="preserve">l rubro de Bienes Inmuebles se </w:t>
      </w:r>
      <w:r w:rsidR="00BA75F8">
        <w:rPr>
          <w:lang w:val="es-MX"/>
        </w:rPr>
        <w:t>realizó un</w:t>
      </w:r>
      <w:r w:rsidR="00AC7F8A" w:rsidRPr="00E11756">
        <w:rPr>
          <w:lang w:val="es-MX"/>
        </w:rPr>
        <w:t xml:space="preserve"> avaluó al 30 de junio de 2016, y </w:t>
      </w:r>
      <w:r w:rsidR="00BA75F8">
        <w:rPr>
          <w:lang w:val="es-MX"/>
        </w:rPr>
        <w:t>posterior a esa fecha se registran a su</w:t>
      </w:r>
      <w:r w:rsidR="00AC7F8A" w:rsidRPr="00E11756">
        <w:rPr>
          <w:lang w:val="es-MX"/>
        </w:rPr>
        <w:t xml:space="preserve"> valor de realización; reconociendo la normatividad emitida por el Consejo Nacional de Armonización Contable</w:t>
      </w:r>
      <w:r w:rsidR="002B14A4">
        <w:rPr>
          <w:lang w:val="es-MX"/>
        </w:rPr>
        <w:t xml:space="preserve">, </w:t>
      </w:r>
      <w:r w:rsidR="002B14A4">
        <w:t xml:space="preserve">a la fecha no se han efectuado </w:t>
      </w:r>
      <w:r w:rsidR="0046745F">
        <w:t>depreciaciones</w:t>
      </w:r>
      <w:r w:rsidR="002B14A4">
        <w:t xml:space="preserve"> a los</w:t>
      </w:r>
      <w:r w:rsidR="0046745F">
        <w:t xml:space="preserve"> bienes inmuebles</w:t>
      </w:r>
      <w:r w:rsidR="00AC7F8A" w:rsidRPr="00E11756">
        <w:rPr>
          <w:lang w:val="es-MX"/>
        </w:rPr>
        <w:t>.</w:t>
      </w:r>
    </w:p>
    <w:p w14:paraId="6D161489" w14:textId="77777777" w:rsidR="00BA75F8" w:rsidRDefault="00BA75F8" w:rsidP="00AC7F8A">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4629"/>
        <w:gridCol w:w="1984"/>
      </w:tblGrid>
      <w:tr w:rsidR="00BA75F8" w:rsidRPr="007F4D46" w14:paraId="13FD5A9E" w14:textId="77777777" w:rsidTr="00E54B7E">
        <w:trPr>
          <w:jc w:val="center"/>
        </w:trPr>
        <w:tc>
          <w:tcPr>
            <w:tcW w:w="4629" w:type="dxa"/>
            <w:noWrap/>
          </w:tcPr>
          <w:p w14:paraId="0E5D846D" w14:textId="77777777" w:rsidR="00BA75F8" w:rsidRPr="007F4D46" w:rsidRDefault="00BA75F8" w:rsidP="00E54B7E">
            <w:pPr>
              <w:pStyle w:val="ROMANOS"/>
              <w:spacing w:after="0" w:line="240" w:lineRule="auto"/>
            </w:pPr>
            <w:r w:rsidRPr="007F4D46">
              <w:t>CONCEPTO</w:t>
            </w:r>
          </w:p>
        </w:tc>
        <w:tc>
          <w:tcPr>
            <w:tcW w:w="1984" w:type="dxa"/>
            <w:noWrap/>
          </w:tcPr>
          <w:p w14:paraId="34AE0B89" w14:textId="77777777" w:rsidR="00BA75F8" w:rsidRPr="007F4D46" w:rsidRDefault="00BA75F8" w:rsidP="00E54B7E">
            <w:pPr>
              <w:pStyle w:val="ROMANOS"/>
              <w:spacing w:after="0" w:line="240" w:lineRule="auto"/>
              <w:jc w:val="center"/>
            </w:pPr>
            <w:r w:rsidRPr="007F4D46">
              <w:t>IMPORTE</w:t>
            </w:r>
          </w:p>
        </w:tc>
      </w:tr>
      <w:tr w:rsidR="007F4D46" w:rsidRPr="007F4D46" w14:paraId="1654EE81" w14:textId="77777777" w:rsidTr="005C093D">
        <w:trPr>
          <w:jc w:val="center"/>
        </w:trPr>
        <w:tc>
          <w:tcPr>
            <w:tcW w:w="4629" w:type="dxa"/>
            <w:noWrap/>
          </w:tcPr>
          <w:p w14:paraId="798A1CB0" w14:textId="77777777" w:rsidR="007F4D46" w:rsidRPr="007F4D46" w:rsidRDefault="007F4D46" w:rsidP="007F4D46">
            <w:pPr>
              <w:pStyle w:val="ROMANOS"/>
              <w:spacing w:after="0" w:line="240" w:lineRule="auto"/>
            </w:pPr>
            <w:r w:rsidRPr="007F4D46">
              <w:t>Edificios no habitacionales</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427B7C1B" w14:textId="4F90839D" w:rsidR="007F4D46" w:rsidRPr="007F4D46" w:rsidRDefault="007F4D46" w:rsidP="007F4D46">
            <w:pPr>
              <w:jc w:val="right"/>
              <w:rPr>
                <w:rFonts w:ascii="Arial" w:hAnsi="Arial" w:cs="Arial"/>
                <w:color w:val="000000"/>
                <w:sz w:val="18"/>
                <w:szCs w:val="18"/>
              </w:rPr>
            </w:pPr>
            <w:r w:rsidRPr="007F4D46">
              <w:rPr>
                <w:rFonts w:ascii="Arial" w:hAnsi="Arial" w:cs="Arial"/>
                <w:sz w:val="18"/>
                <w:szCs w:val="18"/>
              </w:rPr>
              <w:t>2,439,324,373.37</w:t>
            </w:r>
          </w:p>
        </w:tc>
      </w:tr>
      <w:tr w:rsidR="007F4D46" w:rsidRPr="007F4D46" w14:paraId="6F82999C" w14:textId="77777777" w:rsidTr="005C093D">
        <w:trPr>
          <w:jc w:val="center"/>
        </w:trPr>
        <w:tc>
          <w:tcPr>
            <w:tcW w:w="4629" w:type="dxa"/>
            <w:noWrap/>
          </w:tcPr>
          <w:p w14:paraId="0BEC7B54" w14:textId="1650118D" w:rsidR="007F4D46" w:rsidRPr="007F4D46" w:rsidRDefault="007F4D46" w:rsidP="007F4D46">
            <w:pPr>
              <w:pStyle w:val="ROMANOS"/>
              <w:spacing w:after="0" w:line="240" w:lineRule="auto"/>
              <w:rPr>
                <w:lang w:val="es-MX"/>
              </w:rPr>
            </w:pPr>
            <w:r w:rsidRPr="007F4D46">
              <w:rPr>
                <w:lang w:val="es-MX"/>
              </w:rPr>
              <w:t>Construcciones en proceso en bienes propios</w:t>
            </w:r>
          </w:p>
        </w:tc>
        <w:tc>
          <w:tcPr>
            <w:tcW w:w="1984" w:type="dxa"/>
            <w:tcBorders>
              <w:top w:val="nil"/>
              <w:left w:val="single" w:sz="4" w:space="0" w:color="auto"/>
              <w:bottom w:val="single" w:sz="4" w:space="0" w:color="auto"/>
              <w:right w:val="single" w:sz="4" w:space="0" w:color="auto"/>
            </w:tcBorders>
            <w:shd w:val="clear" w:color="auto" w:fill="auto"/>
            <w:noWrap/>
          </w:tcPr>
          <w:p w14:paraId="0A440BBA" w14:textId="43A7FFFD" w:rsidR="007F4D46" w:rsidRPr="007F4D46" w:rsidRDefault="007F4D46" w:rsidP="007F4D46">
            <w:pPr>
              <w:jc w:val="right"/>
              <w:rPr>
                <w:rFonts w:ascii="Arial" w:hAnsi="Arial" w:cs="Arial"/>
                <w:color w:val="000000"/>
                <w:sz w:val="18"/>
                <w:szCs w:val="18"/>
              </w:rPr>
            </w:pPr>
            <w:r w:rsidRPr="007F4D46">
              <w:rPr>
                <w:rFonts w:ascii="Arial" w:hAnsi="Arial" w:cs="Arial"/>
                <w:sz w:val="18"/>
                <w:szCs w:val="18"/>
              </w:rPr>
              <w:t>179,996,240.44</w:t>
            </w:r>
          </w:p>
        </w:tc>
      </w:tr>
      <w:tr w:rsidR="00611646" w:rsidRPr="007F4D46" w14:paraId="06659278" w14:textId="77777777" w:rsidTr="00E54B7E">
        <w:trPr>
          <w:jc w:val="center"/>
        </w:trPr>
        <w:tc>
          <w:tcPr>
            <w:tcW w:w="4629" w:type="dxa"/>
            <w:noWrap/>
          </w:tcPr>
          <w:p w14:paraId="7309016D" w14:textId="55083B0D" w:rsidR="00611646" w:rsidRPr="007F4D46" w:rsidRDefault="00611646" w:rsidP="00611646">
            <w:pPr>
              <w:pStyle w:val="ROMANOS"/>
              <w:spacing w:after="0" w:line="240" w:lineRule="auto"/>
              <w:rPr>
                <w:b/>
              </w:rPr>
            </w:pPr>
            <w:r w:rsidRPr="007F4D46">
              <w:rPr>
                <w:b/>
              </w:rPr>
              <w:t>Suma</w:t>
            </w:r>
          </w:p>
        </w:tc>
        <w:tc>
          <w:tcPr>
            <w:tcW w:w="1984" w:type="dxa"/>
            <w:noWrap/>
          </w:tcPr>
          <w:p w14:paraId="3B88B3C6" w14:textId="0C19A8FA" w:rsidR="00611646" w:rsidRPr="007F4D46" w:rsidRDefault="007F4D46" w:rsidP="00611646">
            <w:pPr>
              <w:jc w:val="right"/>
              <w:rPr>
                <w:rFonts w:ascii="Arial" w:hAnsi="Arial" w:cs="Arial"/>
                <w:b/>
                <w:color w:val="000000"/>
                <w:sz w:val="18"/>
                <w:szCs w:val="18"/>
              </w:rPr>
            </w:pPr>
            <w:r>
              <w:rPr>
                <w:rFonts w:ascii="Arial" w:hAnsi="Arial" w:cs="Arial"/>
                <w:b/>
                <w:color w:val="000000"/>
                <w:sz w:val="18"/>
                <w:szCs w:val="18"/>
              </w:rPr>
              <w:fldChar w:fldCharType="begin"/>
            </w:r>
            <w:r>
              <w:rPr>
                <w:rFonts w:ascii="Arial" w:hAnsi="Arial" w:cs="Arial"/>
                <w:b/>
                <w:color w:val="000000"/>
                <w:sz w:val="18"/>
                <w:szCs w:val="18"/>
              </w:rPr>
              <w:instrText xml:space="preserve"> =SUM(ABOVE) </w:instrText>
            </w:r>
            <w:r>
              <w:rPr>
                <w:rFonts w:ascii="Arial" w:hAnsi="Arial" w:cs="Arial"/>
                <w:b/>
                <w:color w:val="000000"/>
                <w:sz w:val="18"/>
                <w:szCs w:val="18"/>
              </w:rPr>
              <w:fldChar w:fldCharType="separate"/>
            </w:r>
            <w:r>
              <w:rPr>
                <w:rFonts w:ascii="Arial" w:hAnsi="Arial" w:cs="Arial"/>
                <w:b/>
                <w:noProof/>
                <w:color w:val="000000"/>
                <w:sz w:val="18"/>
                <w:szCs w:val="18"/>
              </w:rPr>
              <w:t>2,619,320,613.81</w:t>
            </w:r>
            <w:r>
              <w:rPr>
                <w:rFonts w:ascii="Arial" w:hAnsi="Arial" w:cs="Arial"/>
                <w:b/>
                <w:color w:val="000000"/>
                <w:sz w:val="18"/>
                <w:szCs w:val="18"/>
              </w:rPr>
              <w:fldChar w:fldCharType="end"/>
            </w:r>
          </w:p>
        </w:tc>
      </w:tr>
    </w:tbl>
    <w:p w14:paraId="36E51B85" w14:textId="77777777" w:rsidR="00BA75F8" w:rsidRDefault="00BA75F8" w:rsidP="00AC7F8A">
      <w:pPr>
        <w:pStyle w:val="ROMANOS"/>
        <w:spacing w:after="0" w:line="240" w:lineRule="exact"/>
        <w:rPr>
          <w:lang w:val="es-MX"/>
        </w:rPr>
      </w:pPr>
    </w:p>
    <w:p w14:paraId="620EF8E6" w14:textId="77777777" w:rsidR="00AC7F8A" w:rsidRDefault="00AC7F8A" w:rsidP="00AC7F8A">
      <w:pPr>
        <w:pStyle w:val="ROMANOS"/>
        <w:spacing w:after="0" w:line="240" w:lineRule="exact"/>
        <w:rPr>
          <w:lang w:val="es-MX"/>
        </w:rPr>
      </w:pPr>
    </w:p>
    <w:p w14:paraId="620EF8E7" w14:textId="5FC59433" w:rsidR="00AC7F8A" w:rsidRDefault="00AC7F8A" w:rsidP="00AC7F8A">
      <w:pPr>
        <w:pStyle w:val="ROMANOS"/>
        <w:spacing w:after="0" w:line="240" w:lineRule="exact"/>
        <w:rPr>
          <w:lang w:val="es-MX"/>
        </w:rPr>
      </w:pPr>
      <w:r>
        <w:rPr>
          <w:lang w:val="es-MX"/>
        </w:rPr>
        <w:tab/>
      </w:r>
      <w:r w:rsidRPr="00E11756">
        <w:rPr>
          <w:lang w:val="es-MX"/>
        </w:rPr>
        <w:t>E</w:t>
      </w:r>
      <w:r w:rsidR="00BA75F8">
        <w:rPr>
          <w:lang w:val="es-MX"/>
        </w:rPr>
        <w:t>n e</w:t>
      </w:r>
      <w:r w:rsidRPr="00E11756">
        <w:rPr>
          <w:lang w:val="es-MX"/>
        </w:rPr>
        <w:t xml:space="preserve">l rubro Bienes Muebles se </w:t>
      </w:r>
      <w:r w:rsidR="00BA75F8">
        <w:rPr>
          <w:lang w:val="es-MX"/>
        </w:rPr>
        <w:t>realizó un</w:t>
      </w:r>
      <w:r w:rsidRPr="00E11756">
        <w:rPr>
          <w:lang w:val="es-MX"/>
        </w:rPr>
        <w:t xml:space="preserve"> avaluó a diciembre de 2015,</w:t>
      </w:r>
      <w:r w:rsidR="00BA75F8">
        <w:rPr>
          <w:lang w:val="es-MX"/>
        </w:rPr>
        <w:t xml:space="preserve"> y</w:t>
      </w:r>
      <w:r w:rsidRPr="00E11756">
        <w:rPr>
          <w:lang w:val="es-MX"/>
        </w:rPr>
        <w:t xml:space="preserve"> a partir del ejercicio 2016 el incremento del valor en libros </w:t>
      </w:r>
      <w:r w:rsidR="006F79A6">
        <w:rPr>
          <w:lang w:val="es-MX"/>
        </w:rPr>
        <w:t xml:space="preserve">es a precio de </w:t>
      </w:r>
      <w:r w:rsidRPr="00BB0B8C">
        <w:rPr>
          <w:lang w:val="es-MX"/>
        </w:rPr>
        <w:t>adquisición de los bienes</w:t>
      </w:r>
      <w:r w:rsidR="006F79A6">
        <w:rPr>
          <w:lang w:val="es-MX"/>
        </w:rPr>
        <w:t>,</w:t>
      </w:r>
      <w:r w:rsidRPr="00BB0B8C">
        <w:rPr>
          <w:lang w:val="es-MX"/>
        </w:rPr>
        <w:t xml:space="preserve"> reconociendo la normatividad emitida por el Consejo Nacional de Armonización Contable</w:t>
      </w:r>
      <w:r w:rsidR="006F79A6">
        <w:rPr>
          <w:lang w:val="es-MX"/>
        </w:rPr>
        <w:t>;</w:t>
      </w:r>
      <w:r w:rsidR="0046745F">
        <w:rPr>
          <w:lang w:val="es-MX"/>
        </w:rPr>
        <w:t xml:space="preserve"> </w:t>
      </w:r>
      <w:r w:rsidR="0046745F">
        <w:t>a la fecha no se han efectuado depreciaciones a los bienes muebles</w:t>
      </w:r>
      <w:r w:rsidRPr="00BB0B8C">
        <w:rPr>
          <w:lang w:val="es-MX"/>
        </w:rPr>
        <w:t>.</w:t>
      </w:r>
      <w:r w:rsidR="006F79A6" w:rsidRPr="006F79A6">
        <w:t xml:space="preserve"> </w:t>
      </w:r>
      <w:r w:rsidR="006F79A6">
        <w:t xml:space="preserve">Para el control </w:t>
      </w:r>
      <w:r w:rsidR="00032F70">
        <w:t>físico</w:t>
      </w:r>
      <w:r w:rsidR="006F79A6">
        <w:t xml:space="preserve"> de los bienes se utiliza el Sistema de Activos Gubernamentales</w:t>
      </w:r>
      <w:r w:rsidR="00032F70">
        <w:t>,</w:t>
      </w:r>
      <w:r w:rsidR="006F79A6">
        <w:t xml:space="preserve"> </w:t>
      </w:r>
      <w:r w:rsidR="00032F70">
        <w:t>cuyo responsable del registro</w:t>
      </w:r>
      <w:r w:rsidR="006F79A6">
        <w:t xml:space="preserve"> es </w:t>
      </w:r>
      <w:r w:rsidR="00032F70">
        <w:t>la</w:t>
      </w:r>
      <w:r w:rsidR="006F79A6">
        <w:t xml:space="preserve"> </w:t>
      </w:r>
      <w:r w:rsidR="00032F70">
        <w:t xml:space="preserve">oficina de </w:t>
      </w:r>
      <w:r w:rsidR="006F79A6">
        <w:t>suministros,</w:t>
      </w:r>
      <w:r w:rsidR="00032F70">
        <w:t xml:space="preserve"> mismo que </w:t>
      </w:r>
      <w:r w:rsidR="006F79A6">
        <w:t>se utiliza como control interno de los bienes o artículos que se reciben de los proveedores y a los cuales se les asigna un código.</w:t>
      </w:r>
    </w:p>
    <w:p w14:paraId="620EF8E8" w14:textId="77777777" w:rsidR="00AC7F8A" w:rsidRDefault="00AC7F8A" w:rsidP="00AC7F8A">
      <w:pPr>
        <w:pStyle w:val="ROMANOS"/>
        <w:spacing w:after="0" w:line="240" w:lineRule="exact"/>
        <w:rPr>
          <w:lang w:val="es-MX"/>
        </w:rPr>
      </w:pPr>
    </w:p>
    <w:p w14:paraId="620EF8E9" w14:textId="77777777" w:rsidR="00AC7F8A" w:rsidRDefault="00AC7F8A" w:rsidP="00AC7F8A">
      <w:pPr>
        <w:pStyle w:val="ROMANOS"/>
        <w:spacing w:after="0" w:line="240" w:lineRule="exact"/>
        <w:rPr>
          <w:lang w:val="es-MX"/>
        </w:rPr>
      </w:pPr>
      <w:r>
        <w:rPr>
          <w:lang w:val="es-MX"/>
        </w:rPr>
        <w:tab/>
      </w:r>
    </w:p>
    <w:tbl>
      <w:tblPr>
        <w:tblStyle w:val="Tablaconcuadrcula"/>
        <w:tblW w:w="0" w:type="auto"/>
        <w:jc w:val="center"/>
        <w:tblLook w:val="04A0" w:firstRow="1" w:lastRow="0" w:firstColumn="1" w:lastColumn="0" w:noHBand="0" w:noVBand="1"/>
      </w:tblPr>
      <w:tblGrid>
        <w:gridCol w:w="4629"/>
        <w:gridCol w:w="1984"/>
      </w:tblGrid>
      <w:tr w:rsidR="00AC7F8A" w:rsidRPr="005C093D" w14:paraId="620EF8EC" w14:textId="77777777" w:rsidTr="005C0FD1">
        <w:trPr>
          <w:jc w:val="center"/>
        </w:trPr>
        <w:tc>
          <w:tcPr>
            <w:tcW w:w="4629" w:type="dxa"/>
            <w:noWrap/>
          </w:tcPr>
          <w:p w14:paraId="620EF8EA" w14:textId="77777777" w:rsidR="00AC7F8A" w:rsidRPr="005C093D" w:rsidRDefault="00AC7F8A" w:rsidP="00AD6257">
            <w:pPr>
              <w:pStyle w:val="ROMANOS"/>
              <w:spacing w:after="0" w:line="240" w:lineRule="auto"/>
            </w:pPr>
            <w:r w:rsidRPr="005C093D">
              <w:t>CONCEPTO</w:t>
            </w:r>
          </w:p>
        </w:tc>
        <w:tc>
          <w:tcPr>
            <w:tcW w:w="1984" w:type="dxa"/>
            <w:noWrap/>
          </w:tcPr>
          <w:p w14:paraId="620EF8EB" w14:textId="77777777" w:rsidR="00AC7F8A" w:rsidRPr="005C093D" w:rsidRDefault="00AC7F8A" w:rsidP="005C0FD1">
            <w:pPr>
              <w:pStyle w:val="ROMANOS"/>
              <w:spacing w:after="0" w:line="240" w:lineRule="auto"/>
              <w:jc w:val="center"/>
            </w:pPr>
            <w:r w:rsidRPr="005C093D">
              <w:t>IMPORTE</w:t>
            </w:r>
          </w:p>
        </w:tc>
      </w:tr>
      <w:tr w:rsidR="005C093D" w:rsidRPr="005C093D" w14:paraId="620EF8F5" w14:textId="77777777" w:rsidTr="00546D3F">
        <w:trPr>
          <w:jc w:val="center"/>
        </w:trPr>
        <w:tc>
          <w:tcPr>
            <w:tcW w:w="4629" w:type="dxa"/>
            <w:noWrap/>
            <w:hideMark/>
          </w:tcPr>
          <w:p w14:paraId="620EF8F3" w14:textId="6B540708" w:rsidR="005C093D" w:rsidRPr="005C093D" w:rsidRDefault="005C093D" w:rsidP="005C093D">
            <w:pPr>
              <w:pStyle w:val="ROMANOS"/>
              <w:spacing w:after="0" w:line="240" w:lineRule="auto"/>
              <w:rPr>
                <w:b/>
              </w:rPr>
            </w:pPr>
            <w:r w:rsidRPr="005C093D">
              <w:t>Mobiliario y equipo de administración</w:t>
            </w:r>
          </w:p>
        </w:tc>
        <w:tc>
          <w:tcPr>
            <w:tcW w:w="1984" w:type="dxa"/>
            <w:tcBorders>
              <w:top w:val="single" w:sz="4" w:space="0" w:color="auto"/>
              <w:left w:val="single" w:sz="4" w:space="0" w:color="auto"/>
              <w:bottom w:val="single" w:sz="4" w:space="0" w:color="auto"/>
              <w:right w:val="single" w:sz="4" w:space="0" w:color="auto"/>
            </w:tcBorders>
            <w:shd w:val="clear" w:color="auto" w:fill="auto"/>
            <w:noWrap/>
          </w:tcPr>
          <w:p w14:paraId="620EF8F4" w14:textId="5FAF8106" w:rsidR="005C093D" w:rsidRPr="005C093D" w:rsidRDefault="005C093D" w:rsidP="005C093D">
            <w:pPr>
              <w:jc w:val="right"/>
              <w:rPr>
                <w:rFonts w:ascii="Arial" w:hAnsi="Arial" w:cs="Arial"/>
                <w:color w:val="000000"/>
                <w:sz w:val="18"/>
                <w:szCs w:val="18"/>
              </w:rPr>
            </w:pPr>
            <w:r w:rsidRPr="005C093D">
              <w:rPr>
                <w:rFonts w:ascii="Arial" w:hAnsi="Arial" w:cs="Arial"/>
                <w:sz w:val="18"/>
                <w:szCs w:val="18"/>
              </w:rPr>
              <w:t>117,351,257.11</w:t>
            </w:r>
          </w:p>
        </w:tc>
      </w:tr>
      <w:tr w:rsidR="005C093D" w:rsidRPr="005C093D" w14:paraId="620EF8F8" w14:textId="77777777" w:rsidTr="00546D3F">
        <w:trPr>
          <w:jc w:val="center"/>
        </w:trPr>
        <w:tc>
          <w:tcPr>
            <w:tcW w:w="4629" w:type="dxa"/>
            <w:noWrap/>
            <w:hideMark/>
          </w:tcPr>
          <w:p w14:paraId="620EF8F6" w14:textId="339FE102" w:rsidR="005C093D" w:rsidRPr="005C093D" w:rsidRDefault="005C093D" w:rsidP="005C093D">
            <w:pPr>
              <w:pStyle w:val="ROMANOS"/>
              <w:spacing w:after="0" w:line="240" w:lineRule="auto"/>
              <w:rPr>
                <w:b/>
              </w:rPr>
            </w:pPr>
            <w:r w:rsidRPr="005C093D">
              <w:t>Mobiliario y equipo educacional y recreativo</w:t>
            </w:r>
          </w:p>
        </w:tc>
        <w:tc>
          <w:tcPr>
            <w:tcW w:w="1984" w:type="dxa"/>
            <w:tcBorders>
              <w:top w:val="nil"/>
              <w:left w:val="single" w:sz="4" w:space="0" w:color="auto"/>
              <w:bottom w:val="single" w:sz="4" w:space="0" w:color="auto"/>
              <w:right w:val="single" w:sz="4" w:space="0" w:color="auto"/>
            </w:tcBorders>
            <w:shd w:val="clear" w:color="auto" w:fill="auto"/>
            <w:noWrap/>
          </w:tcPr>
          <w:p w14:paraId="620EF8F7" w14:textId="6E785940" w:rsidR="005C093D" w:rsidRPr="005C093D" w:rsidRDefault="005C093D" w:rsidP="005C093D">
            <w:pPr>
              <w:jc w:val="right"/>
              <w:rPr>
                <w:rFonts w:ascii="Arial" w:hAnsi="Arial" w:cs="Arial"/>
                <w:color w:val="000000"/>
                <w:sz w:val="18"/>
                <w:szCs w:val="18"/>
              </w:rPr>
            </w:pPr>
            <w:r w:rsidRPr="005C093D">
              <w:rPr>
                <w:rFonts w:ascii="Arial" w:hAnsi="Arial" w:cs="Arial"/>
                <w:sz w:val="18"/>
                <w:szCs w:val="18"/>
              </w:rPr>
              <w:t>5,148,729.93</w:t>
            </w:r>
          </w:p>
        </w:tc>
      </w:tr>
      <w:tr w:rsidR="005C093D" w:rsidRPr="005C093D" w14:paraId="620EF8FB" w14:textId="77777777" w:rsidTr="00546D3F">
        <w:trPr>
          <w:jc w:val="center"/>
        </w:trPr>
        <w:tc>
          <w:tcPr>
            <w:tcW w:w="4629" w:type="dxa"/>
            <w:noWrap/>
            <w:hideMark/>
          </w:tcPr>
          <w:p w14:paraId="620EF8F9" w14:textId="41CE9D15" w:rsidR="005C093D" w:rsidRPr="005C093D" w:rsidRDefault="005C093D" w:rsidP="005C093D">
            <w:pPr>
              <w:pStyle w:val="ROMANOS"/>
              <w:spacing w:after="0" w:line="240" w:lineRule="auto"/>
              <w:rPr>
                <w:b/>
              </w:rPr>
            </w:pPr>
            <w:r w:rsidRPr="005C093D">
              <w:t>Equipo e instrumental médico y de laboratorio</w:t>
            </w:r>
          </w:p>
        </w:tc>
        <w:tc>
          <w:tcPr>
            <w:tcW w:w="1984" w:type="dxa"/>
            <w:tcBorders>
              <w:top w:val="nil"/>
              <w:left w:val="single" w:sz="4" w:space="0" w:color="auto"/>
              <w:bottom w:val="single" w:sz="4" w:space="0" w:color="auto"/>
              <w:right w:val="single" w:sz="4" w:space="0" w:color="auto"/>
            </w:tcBorders>
            <w:shd w:val="clear" w:color="auto" w:fill="auto"/>
            <w:noWrap/>
          </w:tcPr>
          <w:p w14:paraId="620EF8FA" w14:textId="466398C1" w:rsidR="005C093D" w:rsidRPr="005C093D" w:rsidRDefault="005C093D" w:rsidP="005C093D">
            <w:pPr>
              <w:jc w:val="right"/>
              <w:rPr>
                <w:rFonts w:ascii="Arial" w:hAnsi="Arial" w:cs="Arial"/>
                <w:color w:val="000000"/>
                <w:sz w:val="18"/>
                <w:szCs w:val="18"/>
              </w:rPr>
            </w:pPr>
            <w:r w:rsidRPr="005C093D">
              <w:rPr>
                <w:rFonts w:ascii="Arial" w:hAnsi="Arial" w:cs="Arial"/>
                <w:sz w:val="18"/>
                <w:szCs w:val="18"/>
              </w:rPr>
              <w:t>623,337,806.41</w:t>
            </w:r>
          </w:p>
        </w:tc>
      </w:tr>
      <w:tr w:rsidR="005C093D" w:rsidRPr="005C093D" w14:paraId="620EF8FE" w14:textId="77777777" w:rsidTr="00546D3F">
        <w:trPr>
          <w:jc w:val="center"/>
        </w:trPr>
        <w:tc>
          <w:tcPr>
            <w:tcW w:w="4629" w:type="dxa"/>
            <w:noWrap/>
          </w:tcPr>
          <w:p w14:paraId="620EF8FC" w14:textId="5FA02B9A" w:rsidR="005C093D" w:rsidRPr="005C093D" w:rsidRDefault="005C093D" w:rsidP="005C093D">
            <w:pPr>
              <w:pStyle w:val="ROMANOS"/>
              <w:spacing w:after="0" w:line="240" w:lineRule="auto"/>
              <w:rPr>
                <w:b/>
              </w:rPr>
            </w:pPr>
            <w:r w:rsidRPr="005C093D">
              <w:t>Vehículos y equipo de transporte</w:t>
            </w:r>
          </w:p>
        </w:tc>
        <w:tc>
          <w:tcPr>
            <w:tcW w:w="1984" w:type="dxa"/>
            <w:tcBorders>
              <w:top w:val="nil"/>
              <w:left w:val="single" w:sz="4" w:space="0" w:color="auto"/>
              <w:bottom w:val="single" w:sz="4" w:space="0" w:color="auto"/>
              <w:right w:val="single" w:sz="4" w:space="0" w:color="auto"/>
            </w:tcBorders>
            <w:shd w:val="clear" w:color="auto" w:fill="auto"/>
            <w:noWrap/>
          </w:tcPr>
          <w:p w14:paraId="620EF8FD" w14:textId="60AFE3AE" w:rsidR="005C093D" w:rsidRPr="005C093D" w:rsidRDefault="005C093D" w:rsidP="005C093D">
            <w:pPr>
              <w:jc w:val="right"/>
              <w:rPr>
                <w:rFonts w:ascii="Arial" w:hAnsi="Arial" w:cs="Arial"/>
                <w:color w:val="000000"/>
                <w:sz w:val="18"/>
                <w:szCs w:val="18"/>
              </w:rPr>
            </w:pPr>
            <w:r w:rsidRPr="005C093D">
              <w:rPr>
                <w:rFonts w:ascii="Arial" w:hAnsi="Arial" w:cs="Arial"/>
                <w:sz w:val="18"/>
                <w:szCs w:val="18"/>
              </w:rPr>
              <w:t>49,067,852.64</w:t>
            </w:r>
          </w:p>
        </w:tc>
      </w:tr>
      <w:tr w:rsidR="005C093D" w:rsidRPr="005C093D" w14:paraId="0834E986" w14:textId="77777777" w:rsidTr="00546D3F">
        <w:trPr>
          <w:jc w:val="center"/>
        </w:trPr>
        <w:tc>
          <w:tcPr>
            <w:tcW w:w="4629" w:type="dxa"/>
            <w:noWrap/>
          </w:tcPr>
          <w:p w14:paraId="63E03C41" w14:textId="3AD67DFA" w:rsidR="005C093D" w:rsidRPr="005C093D" w:rsidRDefault="005C093D" w:rsidP="005C093D">
            <w:pPr>
              <w:pStyle w:val="ROMANOS"/>
              <w:spacing w:after="0" w:line="240" w:lineRule="auto"/>
              <w:rPr>
                <w:b/>
              </w:rPr>
            </w:pPr>
            <w:r w:rsidRPr="005C093D">
              <w:t>Maquinaria, otros equipos y herramientas</w:t>
            </w:r>
          </w:p>
        </w:tc>
        <w:tc>
          <w:tcPr>
            <w:tcW w:w="1984" w:type="dxa"/>
            <w:tcBorders>
              <w:top w:val="nil"/>
              <w:left w:val="single" w:sz="4" w:space="0" w:color="auto"/>
              <w:bottom w:val="single" w:sz="4" w:space="0" w:color="auto"/>
              <w:right w:val="single" w:sz="4" w:space="0" w:color="auto"/>
            </w:tcBorders>
            <w:shd w:val="clear" w:color="auto" w:fill="auto"/>
            <w:noWrap/>
          </w:tcPr>
          <w:p w14:paraId="2C746434" w14:textId="64D12D33" w:rsidR="005C093D" w:rsidRPr="005C093D" w:rsidRDefault="005C093D" w:rsidP="005C093D">
            <w:pPr>
              <w:jc w:val="right"/>
              <w:rPr>
                <w:rFonts w:ascii="Arial" w:hAnsi="Arial" w:cs="Arial"/>
                <w:color w:val="000000"/>
                <w:sz w:val="18"/>
                <w:szCs w:val="18"/>
              </w:rPr>
            </w:pPr>
            <w:r w:rsidRPr="005C093D">
              <w:rPr>
                <w:rFonts w:ascii="Arial" w:hAnsi="Arial" w:cs="Arial"/>
                <w:sz w:val="18"/>
                <w:szCs w:val="18"/>
              </w:rPr>
              <w:t>24,460,719.83</w:t>
            </w:r>
          </w:p>
        </w:tc>
      </w:tr>
      <w:tr w:rsidR="00611646" w:rsidRPr="005C093D" w14:paraId="08111723" w14:textId="77777777" w:rsidTr="005C0FD1">
        <w:trPr>
          <w:jc w:val="center"/>
        </w:trPr>
        <w:tc>
          <w:tcPr>
            <w:tcW w:w="4629" w:type="dxa"/>
            <w:noWrap/>
          </w:tcPr>
          <w:p w14:paraId="7C6F97F2" w14:textId="6CBF3B03" w:rsidR="00611646" w:rsidRPr="005C093D" w:rsidRDefault="00611646" w:rsidP="00611646">
            <w:pPr>
              <w:pStyle w:val="ROMANOS"/>
              <w:spacing w:after="0" w:line="240" w:lineRule="auto"/>
              <w:rPr>
                <w:b/>
              </w:rPr>
            </w:pPr>
            <w:r w:rsidRPr="005C093D">
              <w:rPr>
                <w:b/>
              </w:rPr>
              <w:t>Suma</w:t>
            </w:r>
          </w:p>
        </w:tc>
        <w:tc>
          <w:tcPr>
            <w:tcW w:w="1984" w:type="dxa"/>
            <w:noWrap/>
          </w:tcPr>
          <w:p w14:paraId="60250A82" w14:textId="48C95FE4" w:rsidR="00611646" w:rsidRPr="005C093D" w:rsidRDefault="005C093D" w:rsidP="00611646">
            <w:pPr>
              <w:jc w:val="right"/>
              <w:rPr>
                <w:rFonts w:ascii="Arial" w:hAnsi="Arial" w:cs="Arial"/>
                <w:b/>
                <w:color w:val="000000"/>
                <w:sz w:val="18"/>
                <w:szCs w:val="18"/>
              </w:rPr>
            </w:pPr>
            <w:r>
              <w:rPr>
                <w:rFonts w:ascii="Arial" w:hAnsi="Arial" w:cs="Arial"/>
                <w:b/>
                <w:color w:val="000000"/>
                <w:sz w:val="18"/>
                <w:szCs w:val="18"/>
              </w:rPr>
              <w:fldChar w:fldCharType="begin"/>
            </w:r>
            <w:r>
              <w:rPr>
                <w:rFonts w:ascii="Arial" w:hAnsi="Arial" w:cs="Arial"/>
                <w:b/>
                <w:color w:val="000000"/>
                <w:sz w:val="18"/>
                <w:szCs w:val="18"/>
              </w:rPr>
              <w:instrText xml:space="preserve"> =SUM(ABOVE) </w:instrText>
            </w:r>
            <w:r>
              <w:rPr>
                <w:rFonts w:ascii="Arial" w:hAnsi="Arial" w:cs="Arial"/>
                <w:b/>
                <w:color w:val="000000"/>
                <w:sz w:val="18"/>
                <w:szCs w:val="18"/>
              </w:rPr>
              <w:fldChar w:fldCharType="separate"/>
            </w:r>
            <w:r>
              <w:rPr>
                <w:rFonts w:ascii="Arial" w:hAnsi="Arial" w:cs="Arial"/>
                <w:b/>
                <w:noProof/>
                <w:color w:val="000000"/>
                <w:sz w:val="18"/>
                <w:szCs w:val="18"/>
              </w:rPr>
              <w:t>819,366,365.92</w:t>
            </w:r>
            <w:r>
              <w:rPr>
                <w:rFonts w:ascii="Arial" w:hAnsi="Arial" w:cs="Arial"/>
                <w:b/>
                <w:color w:val="000000"/>
                <w:sz w:val="18"/>
                <w:szCs w:val="18"/>
              </w:rPr>
              <w:fldChar w:fldCharType="end"/>
            </w:r>
          </w:p>
        </w:tc>
      </w:tr>
    </w:tbl>
    <w:p w14:paraId="620EF902" w14:textId="77777777" w:rsidR="00AC7F8A" w:rsidRDefault="00AC7F8A" w:rsidP="00AC7F8A">
      <w:pPr>
        <w:pStyle w:val="ROMANOS"/>
        <w:spacing w:after="0" w:line="240" w:lineRule="auto"/>
        <w:rPr>
          <w:lang w:val="es-MX"/>
        </w:rPr>
      </w:pPr>
    </w:p>
    <w:p w14:paraId="620EF903" w14:textId="77777777" w:rsidR="00AC7F8A" w:rsidRDefault="00AC7F8A" w:rsidP="00AC7F8A">
      <w:pPr>
        <w:pStyle w:val="ROMANOS"/>
        <w:spacing w:after="0" w:line="240" w:lineRule="exact"/>
        <w:rPr>
          <w:lang w:val="es-MX"/>
        </w:rPr>
      </w:pPr>
    </w:p>
    <w:p w14:paraId="620EF904" w14:textId="77777777" w:rsidR="00AC7F8A" w:rsidRDefault="00AC7F8A" w:rsidP="00AC7F8A">
      <w:pPr>
        <w:pStyle w:val="ROMANOS"/>
        <w:spacing w:after="0" w:line="240" w:lineRule="exact"/>
        <w:rPr>
          <w:lang w:val="es-MX"/>
        </w:rPr>
      </w:pPr>
    </w:p>
    <w:p w14:paraId="620EF906" w14:textId="6FDE9CB5" w:rsidR="00AC7F8A" w:rsidRDefault="0079784C" w:rsidP="00611646">
      <w:pPr>
        <w:pStyle w:val="ROMANOS"/>
        <w:spacing w:after="0" w:line="240" w:lineRule="exact"/>
        <w:ind w:left="708" w:firstLine="0"/>
      </w:pPr>
      <w:r w:rsidRPr="0079784C">
        <w:t>El rubro bienes intangibles se encuentra registrado a su valor de adquisición</w:t>
      </w:r>
      <w:r w:rsidR="00BA75F8">
        <w:t>, a la fecha no se han efectuado</w:t>
      </w:r>
      <w:r w:rsidR="00BD71CE">
        <w:t xml:space="preserve"> amortizaciones a los activos intangibles</w:t>
      </w:r>
      <w:r>
        <w:t>.</w:t>
      </w:r>
    </w:p>
    <w:p w14:paraId="0B60A6F5" w14:textId="15F1A9DF" w:rsidR="00BA75F8" w:rsidRDefault="00BA75F8" w:rsidP="00AC7F8A">
      <w:pPr>
        <w:autoSpaceDE w:val="0"/>
        <w:autoSpaceDN w:val="0"/>
        <w:adjustRightInd w:val="0"/>
        <w:spacing w:after="0" w:line="240" w:lineRule="auto"/>
        <w:ind w:firstLine="708"/>
        <w:rPr>
          <w:rFonts w:ascii="Arial" w:eastAsia="Times New Roman" w:hAnsi="Arial" w:cs="Arial"/>
          <w:sz w:val="18"/>
          <w:szCs w:val="18"/>
          <w:lang w:val="es-ES" w:eastAsia="es-ES"/>
        </w:rPr>
      </w:pPr>
    </w:p>
    <w:tbl>
      <w:tblPr>
        <w:tblStyle w:val="Tablaconcuadrcula"/>
        <w:tblW w:w="0" w:type="auto"/>
        <w:jc w:val="center"/>
        <w:tblLook w:val="04A0" w:firstRow="1" w:lastRow="0" w:firstColumn="1" w:lastColumn="0" w:noHBand="0" w:noVBand="1"/>
      </w:tblPr>
      <w:tblGrid>
        <w:gridCol w:w="4629"/>
        <w:gridCol w:w="1984"/>
      </w:tblGrid>
      <w:tr w:rsidR="00BA75F8" w:rsidRPr="00BD71CE" w14:paraId="14471AE8" w14:textId="77777777" w:rsidTr="00E54B7E">
        <w:trPr>
          <w:jc w:val="center"/>
        </w:trPr>
        <w:tc>
          <w:tcPr>
            <w:tcW w:w="4629" w:type="dxa"/>
            <w:noWrap/>
          </w:tcPr>
          <w:p w14:paraId="10F38BC6" w14:textId="77777777" w:rsidR="00BA75F8" w:rsidRPr="00BD71CE" w:rsidRDefault="00BA75F8" w:rsidP="00E54B7E">
            <w:pPr>
              <w:pStyle w:val="ROMANOS"/>
              <w:spacing w:after="0" w:line="240" w:lineRule="auto"/>
            </w:pPr>
            <w:r w:rsidRPr="00BD71CE">
              <w:t>CONCEPTO</w:t>
            </w:r>
          </w:p>
        </w:tc>
        <w:tc>
          <w:tcPr>
            <w:tcW w:w="1984" w:type="dxa"/>
            <w:noWrap/>
          </w:tcPr>
          <w:p w14:paraId="6A45D69C" w14:textId="77777777" w:rsidR="00BA75F8" w:rsidRPr="00BD71CE" w:rsidRDefault="00BA75F8" w:rsidP="00E54B7E">
            <w:pPr>
              <w:pStyle w:val="ROMANOS"/>
              <w:spacing w:after="0" w:line="240" w:lineRule="auto"/>
              <w:jc w:val="center"/>
            </w:pPr>
            <w:r w:rsidRPr="00BD71CE">
              <w:t>IMPORTE</w:t>
            </w:r>
          </w:p>
        </w:tc>
      </w:tr>
      <w:tr w:rsidR="00BA75F8" w:rsidRPr="00BD71CE" w14:paraId="77E7B60D" w14:textId="77777777" w:rsidTr="00E54B7E">
        <w:trPr>
          <w:jc w:val="center"/>
        </w:trPr>
        <w:tc>
          <w:tcPr>
            <w:tcW w:w="4629" w:type="dxa"/>
            <w:noWrap/>
          </w:tcPr>
          <w:p w14:paraId="293F2FF7" w14:textId="77777777" w:rsidR="00BA75F8" w:rsidRPr="00BD71CE" w:rsidRDefault="00BA75F8" w:rsidP="00E54B7E">
            <w:pPr>
              <w:pStyle w:val="ROMANOS"/>
              <w:spacing w:after="0" w:line="240" w:lineRule="auto"/>
              <w:rPr>
                <w:b/>
              </w:rPr>
            </w:pPr>
            <w:r w:rsidRPr="00BD71CE">
              <w:t>Software</w:t>
            </w:r>
          </w:p>
        </w:tc>
        <w:tc>
          <w:tcPr>
            <w:tcW w:w="1984" w:type="dxa"/>
            <w:noWrap/>
          </w:tcPr>
          <w:p w14:paraId="781FD2D2" w14:textId="2B6BF9B6" w:rsidR="00BA75F8" w:rsidRPr="00BD71CE" w:rsidRDefault="00BA75F8" w:rsidP="00E54B7E">
            <w:pPr>
              <w:jc w:val="right"/>
              <w:rPr>
                <w:rFonts w:ascii="Arial" w:hAnsi="Arial" w:cs="Arial"/>
                <w:color w:val="000000"/>
                <w:sz w:val="18"/>
                <w:szCs w:val="18"/>
              </w:rPr>
            </w:pPr>
            <w:r w:rsidRPr="00BD71CE">
              <w:rPr>
                <w:rFonts w:ascii="Arial" w:hAnsi="Arial" w:cs="Arial"/>
                <w:sz w:val="18"/>
                <w:szCs w:val="18"/>
              </w:rPr>
              <w:t xml:space="preserve">240,061.23 </w:t>
            </w:r>
          </w:p>
        </w:tc>
      </w:tr>
      <w:tr w:rsidR="00BA75F8" w:rsidRPr="00323DA4" w14:paraId="3E4DC02A" w14:textId="77777777" w:rsidTr="00E54B7E">
        <w:trPr>
          <w:jc w:val="center"/>
        </w:trPr>
        <w:tc>
          <w:tcPr>
            <w:tcW w:w="4629" w:type="dxa"/>
            <w:noWrap/>
          </w:tcPr>
          <w:p w14:paraId="0F4002FE" w14:textId="77777777" w:rsidR="00BA75F8" w:rsidRPr="00323DA4" w:rsidRDefault="00BA75F8" w:rsidP="00E54B7E">
            <w:pPr>
              <w:pStyle w:val="ROMANOS"/>
              <w:spacing w:after="0" w:line="240" w:lineRule="auto"/>
              <w:rPr>
                <w:b/>
              </w:rPr>
            </w:pPr>
            <w:r w:rsidRPr="00323DA4">
              <w:rPr>
                <w:b/>
              </w:rPr>
              <w:t>Suma</w:t>
            </w:r>
          </w:p>
        </w:tc>
        <w:tc>
          <w:tcPr>
            <w:tcW w:w="1984" w:type="dxa"/>
            <w:noWrap/>
          </w:tcPr>
          <w:p w14:paraId="25BF7DE7" w14:textId="05EE8B8B" w:rsidR="00BA75F8" w:rsidRPr="00323DA4" w:rsidRDefault="00BD71CE" w:rsidP="00E54B7E">
            <w:pPr>
              <w:jc w:val="right"/>
              <w:rPr>
                <w:rFonts w:ascii="Arial" w:hAnsi="Arial" w:cs="Arial"/>
                <w:b/>
                <w:color w:val="000000"/>
                <w:sz w:val="18"/>
                <w:szCs w:val="16"/>
              </w:rPr>
            </w:pPr>
            <w:r w:rsidRPr="00323DA4">
              <w:rPr>
                <w:rFonts w:ascii="Arial" w:hAnsi="Arial" w:cs="Arial"/>
                <w:b/>
                <w:color w:val="000000"/>
                <w:sz w:val="18"/>
                <w:szCs w:val="16"/>
              </w:rPr>
              <w:fldChar w:fldCharType="begin"/>
            </w:r>
            <w:r w:rsidRPr="00323DA4">
              <w:rPr>
                <w:rFonts w:ascii="Arial" w:hAnsi="Arial" w:cs="Arial"/>
                <w:b/>
                <w:color w:val="000000"/>
                <w:sz w:val="18"/>
                <w:szCs w:val="16"/>
              </w:rPr>
              <w:instrText xml:space="preserve"> =SUM(ABOVE) </w:instrText>
            </w:r>
            <w:r w:rsidRPr="00323DA4">
              <w:rPr>
                <w:rFonts w:ascii="Arial" w:hAnsi="Arial" w:cs="Arial"/>
                <w:b/>
                <w:color w:val="000000"/>
                <w:sz w:val="18"/>
                <w:szCs w:val="16"/>
              </w:rPr>
              <w:fldChar w:fldCharType="separate"/>
            </w:r>
            <w:r w:rsidRPr="00323DA4">
              <w:rPr>
                <w:rFonts w:ascii="Arial" w:hAnsi="Arial" w:cs="Arial"/>
                <w:b/>
                <w:noProof/>
                <w:color w:val="000000"/>
                <w:sz w:val="18"/>
                <w:szCs w:val="16"/>
              </w:rPr>
              <w:t>240,061.23</w:t>
            </w:r>
            <w:r w:rsidRPr="00323DA4">
              <w:rPr>
                <w:rFonts w:ascii="Arial" w:hAnsi="Arial" w:cs="Arial"/>
                <w:b/>
                <w:color w:val="000000"/>
                <w:sz w:val="18"/>
                <w:szCs w:val="16"/>
              </w:rPr>
              <w:fldChar w:fldCharType="end"/>
            </w:r>
          </w:p>
        </w:tc>
      </w:tr>
    </w:tbl>
    <w:p w14:paraId="730E9192" w14:textId="77777777" w:rsidR="00BA75F8" w:rsidRPr="00826EBE" w:rsidRDefault="00BA75F8" w:rsidP="00AC7F8A">
      <w:pPr>
        <w:autoSpaceDE w:val="0"/>
        <w:autoSpaceDN w:val="0"/>
        <w:adjustRightInd w:val="0"/>
        <w:spacing w:after="0" w:line="240" w:lineRule="auto"/>
        <w:ind w:firstLine="708"/>
        <w:rPr>
          <w:rFonts w:ascii="Arial" w:eastAsia="Times New Roman" w:hAnsi="Arial" w:cs="Arial"/>
          <w:sz w:val="18"/>
          <w:szCs w:val="18"/>
          <w:lang w:val="es-ES" w:eastAsia="es-ES"/>
        </w:rPr>
      </w:pPr>
    </w:p>
    <w:p w14:paraId="620EF907" w14:textId="77777777" w:rsidR="00AC7F8A" w:rsidRDefault="00AC7F8A" w:rsidP="00AC7F8A">
      <w:pPr>
        <w:pStyle w:val="ROMANOS"/>
        <w:spacing w:after="0" w:line="240" w:lineRule="exact"/>
        <w:rPr>
          <w:lang w:val="es-MX"/>
        </w:rPr>
      </w:pPr>
    </w:p>
    <w:p w14:paraId="620EF908" w14:textId="77777777" w:rsidR="00AC7F8A" w:rsidRPr="00630DB0" w:rsidRDefault="00AC7F8A" w:rsidP="00AC7F8A">
      <w:pPr>
        <w:pStyle w:val="ROMANOS"/>
        <w:spacing w:after="0" w:line="240" w:lineRule="exact"/>
        <w:rPr>
          <w:lang w:val="es-MX"/>
        </w:rPr>
      </w:pPr>
    </w:p>
    <w:p w14:paraId="620EF909" w14:textId="77777777" w:rsidR="00AC7F8A" w:rsidRPr="00630DB0" w:rsidRDefault="00AC7F8A" w:rsidP="00AC7F8A">
      <w:pPr>
        <w:pStyle w:val="ROMANOS"/>
        <w:spacing w:after="0" w:line="240" w:lineRule="exact"/>
        <w:rPr>
          <w:b/>
          <w:lang w:val="es-MX"/>
        </w:rPr>
      </w:pPr>
      <w:r w:rsidRPr="00630DB0">
        <w:rPr>
          <w:b/>
          <w:lang w:val="es-MX"/>
        </w:rPr>
        <w:tab/>
        <w:t>Estimaciones y Deterioros</w:t>
      </w:r>
    </w:p>
    <w:p w14:paraId="620EF90A" w14:textId="3177E94B"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Pr="002B3AF4">
        <w:rPr>
          <w:lang w:val="es-MX"/>
        </w:rPr>
        <w:t xml:space="preserve"> </w:t>
      </w:r>
      <w:r>
        <w:rPr>
          <w:lang w:val="es-MX"/>
        </w:rPr>
        <w:t>n</w:t>
      </w:r>
      <w:r w:rsidRPr="00C8597B">
        <w:rPr>
          <w:lang w:val="es-MX"/>
        </w:rPr>
        <w:t>o ha efectuado estimaciones y no se han reconoci</w:t>
      </w:r>
      <w:r w:rsidR="006F79A6">
        <w:rPr>
          <w:lang w:val="es-MX"/>
        </w:rPr>
        <w:t>d</w:t>
      </w:r>
      <w:r w:rsidRPr="00C8597B">
        <w:rPr>
          <w:lang w:val="es-MX"/>
        </w:rPr>
        <w:t>o</w:t>
      </w:r>
      <w:r w:rsidR="006F79A6">
        <w:rPr>
          <w:lang w:val="es-MX"/>
        </w:rPr>
        <w:t xml:space="preserve"> </w:t>
      </w:r>
      <w:r w:rsidRPr="00C8597B">
        <w:rPr>
          <w:lang w:val="es-MX"/>
        </w:rPr>
        <w:t xml:space="preserve">deterioros de los activos durante el </w:t>
      </w:r>
      <w:r w:rsidR="004431B3">
        <w:rPr>
          <w:lang w:val="es-MX"/>
        </w:rPr>
        <w:t>periodo que se presenta</w:t>
      </w:r>
      <w:r w:rsidRPr="00C8597B">
        <w:rPr>
          <w:lang w:val="es-MX"/>
        </w:rPr>
        <w:t>.</w:t>
      </w:r>
    </w:p>
    <w:p w14:paraId="620EF90B" w14:textId="603D9D4A" w:rsidR="00AC7F8A" w:rsidRDefault="00AC7F8A" w:rsidP="00AC7F8A">
      <w:pPr>
        <w:pStyle w:val="ROMANOS"/>
        <w:spacing w:after="0" w:line="240" w:lineRule="exact"/>
        <w:rPr>
          <w:lang w:val="es-MX"/>
        </w:rPr>
      </w:pPr>
    </w:p>
    <w:p w14:paraId="36C7FED1" w14:textId="77777777" w:rsidR="006F79A6" w:rsidRDefault="006F79A6" w:rsidP="00AC7F8A">
      <w:pPr>
        <w:pStyle w:val="ROMANOS"/>
        <w:spacing w:after="0" w:line="240" w:lineRule="exact"/>
        <w:rPr>
          <w:lang w:val="es-MX"/>
        </w:rPr>
      </w:pPr>
    </w:p>
    <w:p w14:paraId="620EF90C" w14:textId="77777777" w:rsidR="00AC7F8A" w:rsidRPr="00630DB0" w:rsidRDefault="00AC7F8A" w:rsidP="00AC7F8A">
      <w:pPr>
        <w:pStyle w:val="ROMANOS"/>
        <w:spacing w:after="0" w:line="240" w:lineRule="exact"/>
        <w:rPr>
          <w:lang w:val="es-MX"/>
        </w:rPr>
      </w:pPr>
    </w:p>
    <w:p w14:paraId="620EF90D" w14:textId="77777777" w:rsidR="00AC7F8A" w:rsidRPr="00630DB0" w:rsidRDefault="00AC7F8A" w:rsidP="00AC7F8A">
      <w:pPr>
        <w:pStyle w:val="ROMANOS"/>
        <w:spacing w:after="0" w:line="240" w:lineRule="exact"/>
        <w:rPr>
          <w:b/>
          <w:lang w:val="es-MX"/>
        </w:rPr>
      </w:pPr>
      <w:r w:rsidRPr="00630DB0">
        <w:rPr>
          <w:b/>
          <w:lang w:val="es-MX"/>
        </w:rPr>
        <w:tab/>
        <w:t>Otros Activos</w:t>
      </w:r>
    </w:p>
    <w:p w14:paraId="620EF90E" w14:textId="567A4FC1" w:rsidR="00AC7F8A" w:rsidRPr="00630DB0" w:rsidRDefault="00AC7F8A" w:rsidP="00AC7F8A">
      <w:pPr>
        <w:pStyle w:val="ROMANOS"/>
        <w:spacing w:after="0" w:line="240" w:lineRule="exact"/>
        <w:rPr>
          <w:lang w:val="es-MX"/>
        </w:rPr>
      </w:pPr>
      <w:r>
        <w:rPr>
          <w:lang w:val="es-MX"/>
        </w:rPr>
        <w:tab/>
        <w:t>Al cierre del periodo que se informa</w:t>
      </w:r>
      <w:r w:rsidR="00417393">
        <w:rPr>
          <w:lang w:val="es-MX"/>
        </w:rPr>
        <w:t>,</w:t>
      </w:r>
      <w:r>
        <w:rPr>
          <w:lang w:val="es-MX"/>
        </w:rPr>
        <w:t xml:space="preserve"> la </w:t>
      </w:r>
      <w:r w:rsidRPr="002B3AF4">
        <w:t>Secretar</w:t>
      </w:r>
      <w:r>
        <w:t>ía</w:t>
      </w:r>
      <w:r w:rsidRPr="002B3AF4">
        <w:t xml:space="preserve"> de Salud y O.P.D. Salud de Tlaxcala</w:t>
      </w:r>
      <w:r w:rsidRPr="002B3AF4">
        <w:rPr>
          <w:lang w:val="es-MX"/>
        </w:rPr>
        <w:t xml:space="preserve"> </w:t>
      </w:r>
      <w:r>
        <w:rPr>
          <w:lang w:val="es-MX"/>
        </w:rPr>
        <w:t>n</w:t>
      </w:r>
      <w:r w:rsidRPr="00630DB0">
        <w:rPr>
          <w:lang w:val="es-MX"/>
        </w:rPr>
        <w:t xml:space="preserve">o </w:t>
      </w:r>
      <w:r w:rsidR="00032F70">
        <w:rPr>
          <w:lang w:val="es-MX"/>
        </w:rPr>
        <w:t>tiene</w:t>
      </w:r>
      <w:r w:rsidRPr="00630DB0">
        <w:rPr>
          <w:lang w:val="es-MX"/>
        </w:rPr>
        <w:t xml:space="preserve"> cuentas de otros activos.</w:t>
      </w:r>
    </w:p>
    <w:p w14:paraId="620EF912" w14:textId="77777777" w:rsidR="00AC7F8A" w:rsidRDefault="00AC7F8A" w:rsidP="00AC7F8A">
      <w:pPr>
        <w:pStyle w:val="ROMANOS"/>
        <w:spacing w:after="0" w:line="240" w:lineRule="exact"/>
        <w:rPr>
          <w:lang w:val="es-MX"/>
        </w:rPr>
      </w:pPr>
    </w:p>
    <w:p w14:paraId="0304B2A3" w14:textId="77777777" w:rsidR="002E5ED2" w:rsidRPr="00630DB0" w:rsidRDefault="002E5ED2" w:rsidP="00AC7F8A">
      <w:pPr>
        <w:pStyle w:val="ROMANOS"/>
        <w:spacing w:after="0" w:line="240" w:lineRule="exact"/>
        <w:rPr>
          <w:lang w:val="es-MX"/>
        </w:rPr>
      </w:pPr>
    </w:p>
    <w:p w14:paraId="620EF913" w14:textId="77777777" w:rsidR="00AC7F8A" w:rsidRPr="00630DB0" w:rsidRDefault="00AC7F8A" w:rsidP="00AC7F8A">
      <w:pPr>
        <w:pStyle w:val="ROMANOS"/>
        <w:spacing w:after="0" w:line="240" w:lineRule="exact"/>
        <w:ind w:left="432"/>
        <w:rPr>
          <w:b/>
          <w:lang w:val="es-MX"/>
        </w:rPr>
      </w:pPr>
      <w:r w:rsidRPr="00630DB0">
        <w:rPr>
          <w:b/>
          <w:lang w:val="es-MX"/>
        </w:rPr>
        <w:tab/>
      </w:r>
      <w:r w:rsidRPr="00630DB0">
        <w:rPr>
          <w:b/>
          <w:lang w:val="es-MX"/>
        </w:rPr>
        <w:tab/>
        <w:t>Pasivo</w:t>
      </w:r>
    </w:p>
    <w:p w14:paraId="620EF914" w14:textId="77777777" w:rsidR="00AC7F8A" w:rsidRDefault="00AC7F8A" w:rsidP="00AC7F8A">
      <w:pPr>
        <w:pStyle w:val="ROMANOS"/>
        <w:spacing w:after="0" w:line="240" w:lineRule="exact"/>
        <w:ind w:left="723" w:firstLine="0"/>
      </w:pPr>
      <w:r w:rsidRPr="0073056A">
        <w:t xml:space="preserve">Son las obligaciones presentes de </w:t>
      </w:r>
      <w:r>
        <w:rPr>
          <w:lang w:val="es-MX"/>
        </w:rPr>
        <w:t xml:space="preserve">la </w:t>
      </w:r>
      <w:r w:rsidRPr="002B3AF4">
        <w:t>Secretar</w:t>
      </w:r>
      <w:r>
        <w:t>ía</w:t>
      </w:r>
      <w:r w:rsidRPr="002B3AF4">
        <w:t xml:space="preserve"> de Salud y O.P.D. Salud de Tlaxcala</w:t>
      </w:r>
      <w:r w:rsidRPr="0073056A">
        <w:t>, ineludibles, identificadas, cuantificadas monetariamente y que representan una disminución futura de beneficios económicos, derivadas de operaciones acontecidas en el pasado que le han afectado económicamente</w:t>
      </w:r>
      <w:r>
        <w:t>.</w:t>
      </w:r>
    </w:p>
    <w:p w14:paraId="620EF915" w14:textId="77777777" w:rsidR="00AC7F8A" w:rsidRDefault="00AC7F8A" w:rsidP="00AC7F8A">
      <w:pPr>
        <w:pStyle w:val="ROMANOS"/>
        <w:spacing w:after="0" w:line="240" w:lineRule="exact"/>
        <w:ind w:left="723" w:firstLine="0"/>
      </w:pPr>
    </w:p>
    <w:p w14:paraId="620EF916" w14:textId="7C443B42" w:rsidR="00AC7F8A" w:rsidRPr="00630DB0" w:rsidRDefault="00AC7F8A" w:rsidP="00AC7F8A">
      <w:pPr>
        <w:pStyle w:val="ROMANOS"/>
        <w:spacing w:after="0" w:line="240" w:lineRule="exact"/>
        <w:ind w:left="723" w:firstLine="0"/>
        <w:rPr>
          <w:lang w:val="es-MX"/>
        </w:rPr>
      </w:pPr>
      <w:r>
        <w:rPr>
          <w:lang w:val="es-MX"/>
        </w:rPr>
        <w:t xml:space="preserve">Dentro de </w:t>
      </w:r>
      <w:r w:rsidRPr="00630DB0">
        <w:rPr>
          <w:lang w:val="es-MX"/>
        </w:rPr>
        <w:t xml:space="preserve">los adeudos que </w:t>
      </w:r>
      <w:r w:rsidR="00915012">
        <w:rPr>
          <w:lang w:val="es-MX"/>
        </w:rPr>
        <w:t>este</w:t>
      </w:r>
      <w:r>
        <w:rPr>
          <w:lang w:val="es-MX"/>
        </w:rPr>
        <w:t xml:space="preserve"> Organismo reconoce </w:t>
      </w:r>
      <w:r w:rsidRPr="00630DB0">
        <w:rPr>
          <w:lang w:val="es-MX"/>
        </w:rPr>
        <w:t xml:space="preserve">se </w:t>
      </w:r>
      <w:r>
        <w:rPr>
          <w:lang w:val="es-MX"/>
        </w:rPr>
        <w:t>encuentran obligaciones</w:t>
      </w:r>
      <w:r w:rsidRPr="00630DB0">
        <w:rPr>
          <w:lang w:val="es-MX"/>
        </w:rPr>
        <w:t xml:space="preserve"> con proveedores de bienes y servicios, retenciones de Impuesto </w:t>
      </w:r>
      <w:r>
        <w:rPr>
          <w:lang w:val="es-MX"/>
        </w:rPr>
        <w:t>S</w:t>
      </w:r>
      <w:r w:rsidRPr="00630DB0">
        <w:rPr>
          <w:lang w:val="es-MX"/>
        </w:rPr>
        <w:t xml:space="preserve">obre la </w:t>
      </w:r>
      <w:r>
        <w:rPr>
          <w:lang w:val="es-MX"/>
        </w:rPr>
        <w:t>R</w:t>
      </w:r>
      <w:r w:rsidRPr="00630DB0">
        <w:rPr>
          <w:lang w:val="es-MX"/>
        </w:rPr>
        <w:t xml:space="preserve">enta y </w:t>
      </w:r>
      <w:r>
        <w:rPr>
          <w:lang w:val="es-MX"/>
        </w:rPr>
        <w:t xml:space="preserve">otras </w:t>
      </w:r>
      <w:r w:rsidRPr="00630DB0">
        <w:rPr>
          <w:lang w:val="es-MX"/>
        </w:rPr>
        <w:t xml:space="preserve">retenciones a los </w:t>
      </w:r>
      <w:r w:rsidR="00032F70" w:rsidRPr="00630DB0">
        <w:rPr>
          <w:lang w:val="es-MX"/>
        </w:rPr>
        <w:t xml:space="preserve">trabajadores </w:t>
      </w:r>
      <w:r w:rsidRPr="00630DB0">
        <w:rPr>
          <w:lang w:val="es-MX"/>
        </w:rPr>
        <w:t>de Salud de Tlaxcala</w:t>
      </w:r>
      <w:r>
        <w:rPr>
          <w:lang w:val="es-MX"/>
        </w:rPr>
        <w:t xml:space="preserve">, </w:t>
      </w:r>
      <w:r>
        <w:t xml:space="preserve">mismas </w:t>
      </w:r>
      <w:r w:rsidRPr="001528B7">
        <w:t xml:space="preserve">que se enteran en el mes inmediato posterior </w:t>
      </w:r>
      <w:r w:rsidR="006378D4">
        <w:t>según</w:t>
      </w:r>
      <w:r w:rsidRPr="001528B7">
        <w:t xml:space="preserve"> los plazos establecidos en las disposiciones legales aplicables.</w:t>
      </w:r>
    </w:p>
    <w:p w14:paraId="620EF917" w14:textId="77777777" w:rsidR="00AC7F8A" w:rsidRDefault="00AC7F8A" w:rsidP="00AC7F8A">
      <w:pPr>
        <w:pStyle w:val="ROMANOS"/>
        <w:spacing w:after="0" w:line="240" w:lineRule="exact"/>
        <w:ind w:left="723" w:firstLine="0"/>
        <w:rPr>
          <w:lang w:val="es-MX"/>
        </w:rPr>
      </w:pPr>
    </w:p>
    <w:p w14:paraId="620EF918" w14:textId="77777777" w:rsidR="00AC7F8A" w:rsidRDefault="00AC7F8A" w:rsidP="00AC7F8A">
      <w:pPr>
        <w:pStyle w:val="ROMANOS"/>
        <w:spacing w:after="0" w:line="240" w:lineRule="exact"/>
        <w:ind w:left="723" w:firstLine="0"/>
        <w:rPr>
          <w:lang w:val="es-MX"/>
        </w:rPr>
      </w:pPr>
    </w:p>
    <w:tbl>
      <w:tblPr>
        <w:tblStyle w:val="Tablaconcuadrcula"/>
        <w:tblW w:w="6729" w:type="dxa"/>
        <w:jc w:val="center"/>
        <w:tblLook w:val="04A0" w:firstRow="1" w:lastRow="0" w:firstColumn="1" w:lastColumn="0" w:noHBand="0" w:noVBand="1"/>
      </w:tblPr>
      <w:tblGrid>
        <w:gridCol w:w="5121"/>
        <w:gridCol w:w="1608"/>
      </w:tblGrid>
      <w:tr w:rsidR="0046745F" w:rsidRPr="005C093D" w14:paraId="620EF91C" w14:textId="77777777" w:rsidTr="0046745F">
        <w:trPr>
          <w:trHeight w:val="227"/>
          <w:jc w:val="center"/>
        </w:trPr>
        <w:tc>
          <w:tcPr>
            <w:tcW w:w="5121" w:type="dxa"/>
            <w:noWrap/>
          </w:tcPr>
          <w:p w14:paraId="620EF919" w14:textId="77777777" w:rsidR="0046745F" w:rsidRPr="005C093D" w:rsidRDefault="0046745F" w:rsidP="00AD6257">
            <w:pPr>
              <w:jc w:val="center"/>
              <w:rPr>
                <w:rFonts w:ascii="Arial" w:eastAsia="Times New Roman" w:hAnsi="Arial" w:cs="Arial"/>
                <w:sz w:val="18"/>
                <w:szCs w:val="18"/>
                <w:lang w:eastAsia="es-ES"/>
              </w:rPr>
            </w:pPr>
            <w:r w:rsidRPr="005C093D">
              <w:rPr>
                <w:rFonts w:ascii="Arial" w:eastAsia="Times New Roman" w:hAnsi="Arial" w:cs="Arial"/>
                <w:sz w:val="18"/>
                <w:szCs w:val="18"/>
                <w:lang w:eastAsia="es-ES"/>
              </w:rPr>
              <w:t>CONCEPTO</w:t>
            </w:r>
          </w:p>
        </w:tc>
        <w:tc>
          <w:tcPr>
            <w:tcW w:w="1608" w:type="dxa"/>
            <w:noWrap/>
          </w:tcPr>
          <w:p w14:paraId="620EF91A" w14:textId="77777777" w:rsidR="0046745F" w:rsidRPr="005C093D" w:rsidRDefault="0046745F" w:rsidP="00AD6257">
            <w:pPr>
              <w:jc w:val="center"/>
              <w:rPr>
                <w:rFonts w:ascii="Arial" w:eastAsia="Times New Roman" w:hAnsi="Arial" w:cs="Arial"/>
                <w:sz w:val="18"/>
                <w:szCs w:val="18"/>
                <w:lang w:eastAsia="es-ES"/>
              </w:rPr>
            </w:pPr>
            <w:r w:rsidRPr="005C093D">
              <w:rPr>
                <w:rFonts w:ascii="Arial" w:eastAsia="Times New Roman" w:hAnsi="Arial" w:cs="Arial"/>
                <w:sz w:val="18"/>
                <w:szCs w:val="18"/>
                <w:lang w:eastAsia="es-ES"/>
              </w:rPr>
              <w:t>IMPORTE</w:t>
            </w:r>
          </w:p>
        </w:tc>
      </w:tr>
      <w:tr w:rsidR="005C093D" w:rsidRPr="005C093D" w14:paraId="620EF920" w14:textId="77777777" w:rsidTr="005C093D">
        <w:trPr>
          <w:trHeight w:val="227"/>
          <w:jc w:val="center"/>
        </w:trPr>
        <w:tc>
          <w:tcPr>
            <w:tcW w:w="5121" w:type="dxa"/>
            <w:noWrap/>
            <w:hideMark/>
          </w:tcPr>
          <w:p w14:paraId="620EF91D" w14:textId="282696E8" w:rsidR="005C093D" w:rsidRPr="005C093D" w:rsidRDefault="005C093D" w:rsidP="005C093D">
            <w:pPr>
              <w:rPr>
                <w:rFonts w:ascii="Arial" w:eastAsia="Times New Roman" w:hAnsi="Arial" w:cs="Arial"/>
                <w:sz w:val="18"/>
                <w:szCs w:val="18"/>
                <w:lang w:eastAsia="es-ES"/>
              </w:rPr>
            </w:pPr>
            <w:r w:rsidRPr="005C093D">
              <w:rPr>
                <w:rFonts w:ascii="Arial" w:hAnsi="Arial" w:cs="Arial"/>
                <w:color w:val="000000"/>
                <w:sz w:val="18"/>
                <w:szCs w:val="18"/>
              </w:rPr>
              <w:t>Servicios personales por pagar a corto plazo</w:t>
            </w:r>
          </w:p>
        </w:tc>
        <w:tc>
          <w:tcPr>
            <w:tcW w:w="1608" w:type="dxa"/>
            <w:tcBorders>
              <w:top w:val="single" w:sz="4" w:space="0" w:color="auto"/>
              <w:left w:val="single" w:sz="4" w:space="0" w:color="auto"/>
              <w:bottom w:val="single" w:sz="4" w:space="0" w:color="auto"/>
              <w:right w:val="single" w:sz="4" w:space="0" w:color="auto"/>
            </w:tcBorders>
            <w:shd w:val="clear" w:color="auto" w:fill="auto"/>
            <w:noWrap/>
            <w:hideMark/>
          </w:tcPr>
          <w:p w14:paraId="620EF91E" w14:textId="6089FB93" w:rsidR="005C093D" w:rsidRPr="005C093D" w:rsidRDefault="005C093D" w:rsidP="005C093D">
            <w:pPr>
              <w:jc w:val="right"/>
              <w:rPr>
                <w:rFonts w:ascii="Arial" w:hAnsi="Arial" w:cs="Arial"/>
                <w:noProof/>
                <w:sz w:val="18"/>
                <w:szCs w:val="18"/>
              </w:rPr>
            </w:pPr>
            <w:r w:rsidRPr="005C093D">
              <w:rPr>
                <w:rFonts w:ascii="Arial" w:hAnsi="Arial" w:cs="Arial"/>
                <w:sz w:val="18"/>
                <w:szCs w:val="18"/>
              </w:rPr>
              <w:t>6,531,440.46</w:t>
            </w:r>
          </w:p>
        </w:tc>
      </w:tr>
      <w:tr w:rsidR="005C093D" w:rsidRPr="005C093D" w14:paraId="620EF924" w14:textId="77777777" w:rsidTr="005C093D">
        <w:trPr>
          <w:trHeight w:val="227"/>
          <w:jc w:val="center"/>
        </w:trPr>
        <w:tc>
          <w:tcPr>
            <w:tcW w:w="5121" w:type="dxa"/>
            <w:noWrap/>
          </w:tcPr>
          <w:p w14:paraId="620EF921" w14:textId="0D800C8F" w:rsidR="005C093D" w:rsidRPr="005C093D" w:rsidRDefault="005C093D" w:rsidP="005C093D">
            <w:pPr>
              <w:rPr>
                <w:rFonts w:ascii="Arial" w:eastAsia="Times New Roman" w:hAnsi="Arial" w:cs="Arial"/>
                <w:sz w:val="18"/>
                <w:szCs w:val="18"/>
                <w:lang w:eastAsia="es-ES"/>
              </w:rPr>
            </w:pPr>
            <w:r w:rsidRPr="005C093D">
              <w:rPr>
                <w:rFonts w:ascii="Arial" w:hAnsi="Arial" w:cs="Arial"/>
                <w:color w:val="000000"/>
                <w:sz w:val="18"/>
                <w:szCs w:val="18"/>
              </w:rPr>
              <w:t>Proveedores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22" w14:textId="137C6FD2" w:rsidR="005C093D" w:rsidRPr="005C093D" w:rsidRDefault="005C093D" w:rsidP="005C093D">
            <w:pPr>
              <w:jc w:val="right"/>
              <w:rPr>
                <w:rFonts w:ascii="Arial" w:hAnsi="Arial" w:cs="Arial"/>
                <w:noProof/>
                <w:sz w:val="18"/>
                <w:szCs w:val="18"/>
              </w:rPr>
            </w:pPr>
            <w:r w:rsidRPr="005C093D">
              <w:rPr>
                <w:rFonts w:ascii="Arial" w:hAnsi="Arial" w:cs="Arial"/>
                <w:sz w:val="18"/>
                <w:szCs w:val="18"/>
              </w:rPr>
              <w:t>16,041,543.97</w:t>
            </w:r>
          </w:p>
        </w:tc>
      </w:tr>
      <w:tr w:rsidR="005C093D" w:rsidRPr="005C093D" w14:paraId="620EF928" w14:textId="77777777" w:rsidTr="005C093D">
        <w:trPr>
          <w:trHeight w:val="227"/>
          <w:jc w:val="center"/>
        </w:trPr>
        <w:tc>
          <w:tcPr>
            <w:tcW w:w="5121" w:type="dxa"/>
            <w:noWrap/>
          </w:tcPr>
          <w:p w14:paraId="620EF925" w14:textId="0C417F36" w:rsidR="005C093D" w:rsidRPr="005C093D" w:rsidRDefault="005C093D" w:rsidP="005C093D">
            <w:pPr>
              <w:rPr>
                <w:rFonts w:ascii="Arial" w:eastAsia="Times New Roman" w:hAnsi="Arial" w:cs="Arial"/>
                <w:sz w:val="18"/>
                <w:szCs w:val="18"/>
                <w:lang w:eastAsia="es-ES"/>
              </w:rPr>
            </w:pPr>
            <w:r w:rsidRPr="005C093D">
              <w:rPr>
                <w:rFonts w:ascii="Arial" w:hAnsi="Arial" w:cs="Arial"/>
                <w:color w:val="000000"/>
                <w:sz w:val="18"/>
                <w:szCs w:val="18"/>
              </w:rPr>
              <w:t>Contratistas por obras públicas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26" w14:textId="04383723" w:rsidR="005C093D" w:rsidRPr="005C093D" w:rsidRDefault="005C093D" w:rsidP="005C093D">
            <w:pPr>
              <w:jc w:val="right"/>
              <w:rPr>
                <w:rFonts w:ascii="Arial" w:hAnsi="Arial" w:cs="Arial"/>
                <w:noProof/>
                <w:sz w:val="18"/>
                <w:szCs w:val="18"/>
              </w:rPr>
            </w:pPr>
            <w:r w:rsidRPr="005C093D">
              <w:rPr>
                <w:rFonts w:ascii="Arial" w:hAnsi="Arial" w:cs="Arial"/>
                <w:sz w:val="18"/>
                <w:szCs w:val="18"/>
              </w:rPr>
              <w:t>0</w:t>
            </w:r>
          </w:p>
        </w:tc>
      </w:tr>
      <w:tr w:rsidR="005C093D" w:rsidRPr="005C093D" w14:paraId="620EF92C" w14:textId="77777777" w:rsidTr="005C093D">
        <w:trPr>
          <w:trHeight w:val="227"/>
          <w:jc w:val="center"/>
        </w:trPr>
        <w:tc>
          <w:tcPr>
            <w:tcW w:w="5121" w:type="dxa"/>
            <w:noWrap/>
          </w:tcPr>
          <w:p w14:paraId="620EF929" w14:textId="297E1AA0" w:rsidR="005C093D" w:rsidRPr="005C093D" w:rsidRDefault="005C093D" w:rsidP="005C093D">
            <w:pPr>
              <w:rPr>
                <w:rFonts w:ascii="Arial" w:eastAsia="Times New Roman" w:hAnsi="Arial" w:cs="Arial"/>
                <w:sz w:val="18"/>
                <w:szCs w:val="18"/>
                <w:lang w:eastAsia="es-ES"/>
              </w:rPr>
            </w:pPr>
            <w:r w:rsidRPr="005C093D">
              <w:rPr>
                <w:rFonts w:ascii="Arial" w:hAnsi="Arial" w:cs="Arial"/>
                <w:color w:val="000000"/>
                <w:sz w:val="18"/>
                <w:szCs w:val="18"/>
              </w:rPr>
              <w:t>Transferencias otorgadas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2A" w14:textId="756E3505" w:rsidR="005C093D" w:rsidRPr="005C093D" w:rsidRDefault="005C093D" w:rsidP="005C093D">
            <w:pPr>
              <w:jc w:val="right"/>
              <w:rPr>
                <w:rFonts w:ascii="Arial" w:hAnsi="Arial" w:cs="Arial"/>
                <w:noProof/>
                <w:sz w:val="18"/>
                <w:szCs w:val="18"/>
              </w:rPr>
            </w:pPr>
            <w:r w:rsidRPr="005C093D">
              <w:rPr>
                <w:rFonts w:ascii="Arial" w:hAnsi="Arial" w:cs="Arial"/>
                <w:sz w:val="18"/>
                <w:szCs w:val="18"/>
              </w:rPr>
              <w:t>0</w:t>
            </w:r>
          </w:p>
        </w:tc>
      </w:tr>
      <w:tr w:rsidR="005C093D" w:rsidRPr="005C093D" w14:paraId="620EF930" w14:textId="77777777" w:rsidTr="005C093D">
        <w:trPr>
          <w:trHeight w:val="227"/>
          <w:jc w:val="center"/>
        </w:trPr>
        <w:tc>
          <w:tcPr>
            <w:tcW w:w="5121" w:type="dxa"/>
            <w:noWrap/>
          </w:tcPr>
          <w:p w14:paraId="620EF92D" w14:textId="07B3CD33" w:rsidR="005C093D" w:rsidRPr="005C093D" w:rsidRDefault="005C093D" w:rsidP="005C093D">
            <w:pPr>
              <w:rPr>
                <w:rFonts w:ascii="Arial" w:eastAsia="Times New Roman" w:hAnsi="Arial" w:cs="Arial"/>
                <w:sz w:val="18"/>
                <w:szCs w:val="18"/>
                <w:lang w:eastAsia="es-ES"/>
              </w:rPr>
            </w:pPr>
            <w:r w:rsidRPr="005C093D">
              <w:rPr>
                <w:rFonts w:ascii="Arial" w:hAnsi="Arial" w:cs="Arial"/>
                <w:color w:val="000000"/>
                <w:sz w:val="18"/>
                <w:szCs w:val="18"/>
              </w:rPr>
              <w:t>Retenciones y contribuciones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2E" w14:textId="142C7A77" w:rsidR="005C093D" w:rsidRPr="005C093D" w:rsidRDefault="005C093D" w:rsidP="005C093D">
            <w:pPr>
              <w:jc w:val="right"/>
              <w:rPr>
                <w:rFonts w:ascii="Arial" w:hAnsi="Arial" w:cs="Arial"/>
                <w:noProof/>
                <w:sz w:val="18"/>
                <w:szCs w:val="18"/>
              </w:rPr>
            </w:pPr>
            <w:r w:rsidRPr="005C093D">
              <w:rPr>
                <w:rFonts w:ascii="Arial" w:hAnsi="Arial" w:cs="Arial"/>
                <w:sz w:val="18"/>
                <w:szCs w:val="18"/>
              </w:rPr>
              <w:t>66,114,895.37</w:t>
            </w:r>
          </w:p>
        </w:tc>
      </w:tr>
      <w:tr w:rsidR="005C093D" w:rsidRPr="005C093D" w14:paraId="620EF934" w14:textId="77777777" w:rsidTr="005C093D">
        <w:trPr>
          <w:trHeight w:val="227"/>
          <w:jc w:val="center"/>
        </w:trPr>
        <w:tc>
          <w:tcPr>
            <w:tcW w:w="5121" w:type="dxa"/>
            <w:noWrap/>
          </w:tcPr>
          <w:p w14:paraId="620EF931" w14:textId="25A61DAF" w:rsidR="005C093D" w:rsidRPr="005C093D" w:rsidRDefault="005C093D" w:rsidP="005C093D">
            <w:pPr>
              <w:rPr>
                <w:rFonts w:ascii="Arial" w:eastAsia="Times New Roman" w:hAnsi="Arial" w:cs="Arial"/>
                <w:sz w:val="18"/>
                <w:szCs w:val="18"/>
                <w:lang w:eastAsia="es-ES"/>
              </w:rPr>
            </w:pPr>
            <w:r w:rsidRPr="005C093D">
              <w:rPr>
                <w:rFonts w:ascii="Arial" w:hAnsi="Arial" w:cs="Arial"/>
                <w:color w:val="000000"/>
                <w:sz w:val="18"/>
                <w:szCs w:val="18"/>
              </w:rPr>
              <w:t>Devoluciones de la ley de ingresos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32" w14:textId="30BABFEF" w:rsidR="005C093D" w:rsidRPr="005C093D" w:rsidRDefault="005C093D" w:rsidP="005C093D">
            <w:pPr>
              <w:jc w:val="right"/>
              <w:rPr>
                <w:rFonts w:ascii="Arial" w:hAnsi="Arial" w:cs="Arial"/>
                <w:noProof/>
                <w:sz w:val="18"/>
                <w:szCs w:val="18"/>
              </w:rPr>
            </w:pPr>
            <w:r w:rsidRPr="005C093D">
              <w:rPr>
                <w:rFonts w:ascii="Arial" w:hAnsi="Arial" w:cs="Arial"/>
                <w:sz w:val="18"/>
                <w:szCs w:val="18"/>
              </w:rPr>
              <w:t>181,245.38</w:t>
            </w:r>
          </w:p>
        </w:tc>
      </w:tr>
      <w:tr w:rsidR="005C093D" w:rsidRPr="005C093D" w14:paraId="620EF938" w14:textId="77777777" w:rsidTr="005C093D">
        <w:trPr>
          <w:trHeight w:val="227"/>
          <w:jc w:val="center"/>
        </w:trPr>
        <w:tc>
          <w:tcPr>
            <w:tcW w:w="5121" w:type="dxa"/>
            <w:noWrap/>
          </w:tcPr>
          <w:p w14:paraId="620EF935" w14:textId="0057B9FE" w:rsidR="005C093D" w:rsidRPr="005C093D" w:rsidRDefault="005C093D" w:rsidP="005C093D">
            <w:pPr>
              <w:rPr>
                <w:rFonts w:ascii="Arial" w:eastAsia="Times New Roman" w:hAnsi="Arial" w:cs="Arial"/>
                <w:sz w:val="18"/>
                <w:szCs w:val="18"/>
                <w:lang w:eastAsia="es-ES"/>
              </w:rPr>
            </w:pPr>
            <w:r w:rsidRPr="005C093D">
              <w:rPr>
                <w:rFonts w:ascii="Arial" w:hAnsi="Arial" w:cs="Arial"/>
                <w:color w:val="000000"/>
                <w:sz w:val="18"/>
                <w:szCs w:val="18"/>
              </w:rPr>
              <w:t>Otras cuentas por pagar a corto plazo</w:t>
            </w:r>
          </w:p>
        </w:tc>
        <w:tc>
          <w:tcPr>
            <w:tcW w:w="1608" w:type="dxa"/>
            <w:tcBorders>
              <w:top w:val="nil"/>
              <w:left w:val="single" w:sz="4" w:space="0" w:color="auto"/>
              <w:bottom w:val="single" w:sz="4" w:space="0" w:color="auto"/>
              <w:right w:val="single" w:sz="4" w:space="0" w:color="auto"/>
            </w:tcBorders>
            <w:shd w:val="clear" w:color="auto" w:fill="auto"/>
            <w:noWrap/>
          </w:tcPr>
          <w:p w14:paraId="620EF936" w14:textId="58345E9C" w:rsidR="005C093D" w:rsidRPr="005C093D" w:rsidRDefault="005C093D" w:rsidP="005C093D">
            <w:pPr>
              <w:jc w:val="right"/>
              <w:rPr>
                <w:rFonts w:ascii="Arial" w:hAnsi="Arial" w:cs="Arial"/>
                <w:noProof/>
                <w:sz w:val="18"/>
                <w:szCs w:val="18"/>
              </w:rPr>
            </w:pPr>
            <w:r w:rsidRPr="005C093D">
              <w:rPr>
                <w:rFonts w:ascii="Arial" w:hAnsi="Arial" w:cs="Arial"/>
                <w:sz w:val="18"/>
                <w:szCs w:val="18"/>
              </w:rPr>
              <w:t>2,792,932.32</w:t>
            </w:r>
          </w:p>
        </w:tc>
      </w:tr>
      <w:tr w:rsidR="005C093D" w:rsidRPr="005C093D" w14:paraId="620EF93C" w14:textId="77777777" w:rsidTr="005C093D">
        <w:trPr>
          <w:trHeight w:val="227"/>
          <w:jc w:val="center"/>
        </w:trPr>
        <w:tc>
          <w:tcPr>
            <w:tcW w:w="5121" w:type="dxa"/>
            <w:noWrap/>
          </w:tcPr>
          <w:p w14:paraId="620EF939" w14:textId="2B127CB5" w:rsidR="005C093D" w:rsidRPr="005C093D" w:rsidRDefault="005C093D" w:rsidP="005C093D">
            <w:pPr>
              <w:rPr>
                <w:rFonts w:ascii="Arial" w:eastAsia="Times New Roman" w:hAnsi="Arial" w:cs="Arial"/>
                <w:sz w:val="18"/>
                <w:szCs w:val="18"/>
                <w:lang w:eastAsia="es-ES"/>
              </w:rPr>
            </w:pPr>
            <w:r w:rsidRPr="005C093D">
              <w:rPr>
                <w:rFonts w:ascii="Arial" w:hAnsi="Arial" w:cs="Arial"/>
                <w:color w:val="000000"/>
                <w:sz w:val="18"/>
                <w:szCs w:val="18"/>
              </w:rPr>
              <w:t>Otras provisiones a corto plazo</w:t>
            </w:r>
          </w:p>
        </w:tc>
        <w:tc>
          <w:tcPr>
            <w:tcW w:w="1608" w:type="dxa"/>
            <w:noWrap/>
          </w:tcPr>
          <w:p w14:paraId="620EF93A" w14:textId="23B1069E" w:rsidR="005C093D" w:rsidRPr="005C093D" w:rsidRDefault="005C093D" w:rsidP="005C093D">
            <w:pPr>
              <w:jc w:val="right"/>
              <w:rPr>
                <w:rFonts w:ascii="Arial" w:hAnsi="Arial" w:cs="Arial"/>
                <w:noProof/>
                <w:sz w:val="18"/>
                <w:szCs w:val="18"/>
              </w:rPr>
            </w:pPr>
            <w:r w:rsidRPr="005C093D">
              <w:rPr>
                <w:rFonts w:ascii="Arial" w:hAnsi="Arial" w:cs="Arial"/>
                <w:sz w:val="18"/>
                <w:szCs w:val="18"/>
              </w:rPr>
              <w:t>18,203,080.52</w:t>
            </w:r>
          </w:p>
        </w:tc>
      </w:tr>
      <w:tr w:rsidR="005C093D" w:rsidRPr="005C093D" w14:paraId="620EF940" w14:textId="77777777" w:rsidTr="005C093D">
        <w:trPr>
          <w:trHeight w:val="227"/>
          <w:jc w:val="center"/>
        </w:trPr>
        <w:tc>
          <w:tcPr>
            <w:tcW w:w="5121" w:type="dxa"/>
            <w:noWrap/>
          </w:tcPr>
          <w:p w14:paraId="620EF93D" w14:textId="6737A17E" w:rsidR="005C093D" w:rsidRPr="005C093D" w:rsidRDefault="005C093D" w:rsidP="005C093D">
            <w:pPr>
              <w:rPr>
                <w:rFonts w:ascii="Arial" w:eastAsia="Times New Roman" w:hAnsi="Arial" w:cs="Arial"/>
                <w:sz w:val="18"/>
                <w:szCs w:val="18"/>
                <w:lang w:eastAsia="es-ES"/>
              </w:rPr>
            </w:pPr>
            <w:r w:rsidRPr="005C093D">
              <w:rPr>
                <w:rFonts w:ascii="Arial" w:hAnsi="Arial" w:cs="Arial"/>
                <w:color w:val="000000"/>
                <w:sz w:val="18"/>
                <w:szCs w:val="18"/>
              </w:rPr>
              <w:t>Ingresos por clasificar de otros ejercicios</w:t>
            </w:r>
          </w:p>
        </w:tc>
        <w:tc>
          <w:tcPr>
            <w:tcW w:w="1608" w:type="dxa"/>
            <w:tcBorders>
              <w:top w:val="single" w:sz="4" w:space="0" w:color="auto"/>
              <w:left w:val="single" w:sz="4" w:space="0" w:color="auto"/>
              <w:bottom w:val="single" w:sz="4" w:space="0" w:color="auto"/>
              <w:right w:val="single" w:sz="4" w:space="0" w:color="auto"/>
            </w:tcBorders>
            <w:shd w:val="clear" w:color="auto" w:fill="auto"/>
            <w:noWrap/>
          </w:tcPr>
          <w:p w14:paraId="620EF93E" w14:textId="52528832" w:rsidR="005C093D" w:rsidRPr="005C093D" w:rsidRDefault="005C093D" w:rsidP="005C093D">
            <w:pPr>
              <w:jc w:val="right"/>
              <w:rPr>
                <w:rFonts w:ascii="Arial" w:hAnsi="Arial" w:cs="Arial"/>
                <w:noProof/>
                <w:sz w:val="18"/>
                <w:szCs w:val="18"/>
              </w:rPr>
            </w:pPr>
            <w:r w:rsidRPr="005C093D">
              <w:rPr>
                <w:rFonts w:ascii="Arial" w:hAnsi="Arial" w:cs="Arial"/>
                <w:sz w:val="18"/>
                <w:szCs w:val="18"/>
              </w:rPr>
              <w:t>3,742,206.53</w:t>
            </w:r>
          </w:p>
        </w:tc>
      </w:tr>
      <w:tr w:rsidR="005C093D" w:rsidRPr="005C093D" w14:paraId="0D2C8E7D" w14:textId="77777777" w:rsidTr="005C093D">
        <w:trPr>
          <w:trHeight w:val="227"/>
          <w:jc w:val="center"/>
        </w:trPr>
        <w:tc>
          <w:tcPr>
            <w:tcW w:w="5121" w:type="dxa"/>
            <w:noWrap/>
          </w:tcPr>
          <w:p w14:paraId="6F55B187" w14:textId="59E7A9CF" w:rsidR="005C093D" w:rsidRPr="005C093D" w:rsidRDefault="005C093D" w:rsidP="005C093D">
            <w:pPr>
              <w:rPr>
                <w:rFonts w:ascii="Arial" w:eastAsia="Times New Roman" w:hAnsi="Arial" w:cs="Arial"/>
                <w:sz w:val="18"/>
                <w:szCs w:val="18"/>
                <w:lang w:eastAsia="es-ES"/>
              </w:rPr>
            </w:pPr>
            <w:r w:rsidRPr="005C093D">
              <w:rPr>
                <w:rFonts w:ascii="Arial" w:hAnsi="Arial" w:cs="Arial"/>
                <w:color w:val="000000"/>
                <w:sz w:val="18"/>
                <w:szCs w:val="18"/>
              </w:rPr>
              <w:t>Otros pasivos circulantes</w:t>
            </w:r>
          </w:p>
        </w:tc>
        <w:tc>
          <w:tcPr>
            <w:tcW w:w="1608" w:type="dxa"/>
            <w:tcBorders>
              <w:top w:val="nil"/>
              <w:left w:val="single" w:sz="4" w:space="0" w:color="auto"/>
              <w:bottom w:val="single" w:sz="4" w:space="0" w:color="auto"/>
              <w:right w:val="single" w:sz="4" w:space="0" w:color="auto"/>
            </w:tcBorders>
            <w:shd w:val="clear" w:color="auto" w:fill="auto"/>
            <w:noWrap/>
          </w:tcPr>
          <w:p w14:paraId="45887C68" w14:textId="02143CC0" w:rsidR="005C093D" w:rsidRPr="005C093D" w:rsidRDefault="005C093D" w:rsidP="005C093D">
            <w:pPr>
              <w:jc w:val="right"/>
              <w:rPr>
                <w:rFonts w:ascii="Arial" w:hAnsi="Arial" w:cs="Arial"/>
                <w:noProof/>
                <w:sz w:val="18"/>
                <w:szCs w:val="18"/>
              </w:rPr>
            </w:pPr>
            <w:r w:rsidRPr="005C093D">
              <w:rPr>
                <w:rFonts w:ascii="Arial" w:hAnsi="Arial" w:cs="Arial"/>
                <w:sz w:val="18"/>
                <w:szCs w:val="18"/>
              </w:rPr>
              <w:t>1,098,554.35</w:t>
            </w:r>
          </w:p>
        </w:tc>
      </w:tr>
      <w:tr w:rsidR="00611646" w:rsidRPr="005C093D" w14:paraId="620EF944" w14:textId="77777777" w:rsidTr="0046745F">
        <w:trPr>
          <w:trHeight w:val="227"/>
          <w:jc w:val="center"/>
        </w:trPr>
        <w:tc>
          <w:tcPr>
            <w:tcW w:w="5121" w:type="dxa"/>
            <w:noWrap/>
          </w:tcPr>
          <w:p w14:paraId="620EF941" w14:textId="21067149" w:rsidR="00611646" w:rsidRPr="005C093D" w:rsidRDefault="00323DA4" w:rsidP="00611646">
            <w:pPr>
              <w:rPr>
                <w:rFonts w:ascii="Arial" w:eastAsia="Times New Roman" w:hAnsi="Arial" w:cs="Arial"/>
                <w:b/>
                <w:sz w:val="18"/>
                <w:szCs w:val="18"/>
                <w:lang w:eastAsia="es-ES"/>
              </w:rPr>
            </w:pPr>
            <w:r w:rsidRPr="005C093D">
              <w:rPr>
                <w:rFonts w:ascii="Arial" w:eastAsia="Times New Roman" w:hAnsi="Arial" w:cs="Arial"/>
                <w:b/>
                <w:sz w:val="18"/>
                <w:szCs w:val="18"/>
                <w:lang w:eastAsia="es-ES"/>
              </w:rPr>
              <w:t>Suma</w:t>
            </w:r>
          </w:p>
        </w:tc>
        <w:tc>
          <w:tcPr>
            <w:tcW w:w="1608" w:type="dxa"/>
            <w:noWrap/>
          </w:tcPr>
          <w:p w14:paraId="620EF942" w14:textId="046F46C7" w:rsidR="00611646" w:rsidRPr="005C093D" w:rsidRDefault="005C093D" w:rsidP="00611646">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114,705,898.9</w:t>
            </w:r>
            <w:r>
              <w:rPr>
                <w:rFonts w:ascii="Arial" w:hAnsi="Arial" w:cs="Arial"/>
                <w:b/>
                <w:sz w:val="18"/>
                <w:szCs w:val="18"/>
              </w:rPr>
              <w:fldChar w:fldCharType="end"/>
            </w:r>
            <w:r>
              <w:rPr>
                <w:rFonts w:ascii="Arial" w:hAnsi="Arial" w:cs="Arial"/>
                <w:b/>
                <w:sz w:val="18"/>
                <w:szCs w:val="18"/>
              </w:rPr>
              <w:t>0</w:t>
            </w:r>
          </w:p>
        </w:tc>
      </w:tr>
    </w:tbl>
    <w:p w14:paraId="620EF945" w14:textId="77777777" w:rsidR="00AC7F8A" w:rsidRPr="003404AB" w:rsidRDefault="00AC7F8A" w:rsidP="00AC7F8A">
      <w:pPr>
        <w:pStyle w:val="ROMANOS"/>
        <w:spacing w:after="0" w:line="240" w:lineRule="exact"/>
        <w:ind w:left="723" w:firstLine="0"/>
        <w:rPr>
          <w:b/>
          <w:lang w:val="es-MX"/>
        </w:rPr>
      </w:pPr>
    </w:p>
    <w:p w14:paraId="620EF946" w14:textId="234C7D85" w:rsidR="00AC7F8A" w:rsidRPr="00630DB0" w:rsidRDefault="00AC7F8A" w:rsidP="00AC7F8A">
      <w:pPr>
        <w:pStyle w:val="ROMANOS"/>
        <w:spacing w:after="0" w:line="240" w:lineRule="exact"/>
        <w:rPr>
          <w:lang w:val="es-MX"/>
        </w:rPr>
      </w:pPr>
      <w:r>
        <w:rPr>
          <w:lang w:val="es-MX"/>
        </w:rPr>
        <w:tab/>
      </w:r>
      <w:r w:rsidRPr="00C85D39">
        <w:rPr>
          <w:lang w:val="es-MX"/>
        </w:rPr>
        <w:t xml:space="preserve">La </w:t>
      </w:r>
      <w:r w:rsidRPr="00C85D39">
        <w:t>Secretaría de Salud y O.P.D. Salud de Tlaxcala</w:t>
      </w:r>
      <w:r w:rsidR="00DB4649">
        <w:t>,</w:t>
      </w:r>
      <w:r w:rsidRPr="00C85D39">
        <w:rPr>
          <w:lang w:val="es-MX"/>
        </w:rPr>
        <w:t xml:space="preserve"> no </w:t>
      </w:r>
      <w:r w:rsidR="00343090">
        <w:rPr>
          <w:lang w:val="es-MX"/>
        </w:rPr>
        <w:t>cuenta</w:t>
      </w:r>
      <w:r w:rsidRPr="00C85D39">
        <w:rPr>
          <w:lang w:val="es-MX"/>
        </w:rPr>
        <w:t xml:space="preserve"> recursos en Fondos de Bienes de Terceros en Administración y/o en Garantía.</w:t>
      </w:r>
    </w:p>
    <w:p w14:paraId="620EF947" w14:textId="77777777" w:rsidR="00AC7F8A" w:rsidRDefault="00AC7F8A" w:rsidP="00AC7F8A">
      <w:pPr>
        <w:pStyle w:val="ROMANOS"/>
        <w:spacing w:after="0" w:line="240" w:lineRule="exact"/>
        <w:rPr>
          <w:lang w:val="es-MX"/>
        </w:rPr>
      </w:pPr>
      <w:r>
        <w:rPr>
          <w:lang w:val="es-MX"/>
        </w:rPr>
        <w:tab/>
      </w:r>
    </w:p>
    <w:p w14:paraId="620EF948" w14:textId="76EE1F53" w:rsidR="00AC7F8A" w:rsidRPr="00630DB0" w:rsidRDefault="00AC7F8A" w:rsidP="00AC7F8A">
      <w:pPr>
        <w:pStyle w:val="ROMANOS"/>
        <w:spacing w:after="0" w:line="240" w:lineRule="exact"/>
        <w:rPr>
          <w:lang w:val="es-MX"/>
        </w:rPr>
      </w:pPr>
      <w:r>
        <w:rPr>
          <w:lang w:val="es-MX"/>
        </w:rPr>
        <w:tab/>
        <w:t xml:space="preserve">La </w:t>
      </w:r>
      <w:r w:rsidRPr="002B3AF4">
        <w:t>Secretar</w:t>
      </w:r>
      <w:r>
        <w:t>ía</w:t>
      </w:r>
      <w:r w:rsidRPr="002B3AF4">
        <w:t xml:space="preserve"> de Salud y O.P.D. Salud de Tlaxcala</w:t>
      </w:r>
      <w:r w:rsidR="00DB4649">
        <w:t>,</w:t>
      </w:r>
      <w:r w:rsidRPr="002B3AF4">
        <w:rPr>
          <w:lang w:val="es-MX"/>
        </w:rPr>
        <w:t xml:space="preserve"> </w:t>
      </w:r>
      <w:r>
        <w:rPr>
          <w:lang w:val="es-MX"/>
        </w:rPr>
        <w:t>n</w:t>
      </w:r>
      <w:r w:rsidRPr="00483D82">
        <w:rPr>
          <w:lang w:val="es-MX"/>
        </w:rPr>
        <w:t xml:space="preserve">o </w:t>
      </w:r>
      <w:r w:rsidR="00343090">
        <w:rPr>
          <w:lang w:val="es-MX"/>
        </w:rPr>
        <w:t>registra</w:t>
      </w:r>
      <w:r w:rsidRPr="00483D82">
        <w:rPr>
          <w:lang w:val="es-MX"/>
        </w:rPr>
        <w:t xml:space="preserve"> pasivos a largo plazo</w:t>
      </w:r>
      <w:r w:rsidRPr="00630DB0">
        <w:rPr>
          <w:lang w:val="es-MX"/>
        </w:rPr>
        <w:t>.</w:t>
      </w:r>
    </w:p>
    <w:p w14:paraId="620EF949" w14:textId="77777777" w:rsidR="00AC7F8A" w:rsidRDefault="00AC7F8A" w:rsidP="00AC7F8A">
      <w:pPr>
        <w:pStyle w:val="ROMANOS"/>
        <w:spacing w:after="0" w:line="240" w:lineRule="exact"/>
        <w:ind w:left="1008" w:firstLine="0"/>
        <w:rPr>
          <w:lang w:val="es-MX"/>
        </w:rPr>
      </w:pPr>
    </w:p>
    <w:p w14:paraId="620EF94F" w14:textId="77777777" w:rsidR="00AC7F8A" w:rsidRDefault="00AC7F8A" w:rsidP="00AC7F8A">
      <w:pPr>
        <w:pStyle w:val="ROMANOS"/>
        <w:spacing w:after="0" w:line="240" w:lineRule="exact"/>
        <w:ind w:left="1008" w:firstLine="0"/>
        <w:rPr>
          <w:lang w:val="es-MX"/>
        </w:rPr>
      </w:pPr>
    </w:p>
    <w:p w14:paraId="44D797ED" w14:textId="77777777" w:rsidR="002E5ED2" w:rsidRDefault="002E5ED2" w:rsidP="00AC7F8A">
      <w:pPr>
        <w:pStyle w:val="ROMANOS"/>
        <w:spacing w:after="0" w:line="240" w:lineRule="exact"/>
        <w:ind w:left="1008" w:firstLine="0"/>
        <w:rPr>
          <w:lang w:val="es-MX"/>
        </w:rPr>
      </w:pPr>
    </w:p>
    <w:p w14:paraId="1DEC2FF3" w14:textId="4554F45A" w:rsidR="002E5ED2" w:rsidRDefault="002E5ED2" w:rsidP="00AC7F8A">
      <w:pPr>
        <w:pStyle w:val="ROMANOS"/>
        <w:spacing w:after="0" w:line="240" w:lineRule="exact"/>
        <w:ind w:left="1008" w:firstLine="0"/>
        <w:rPr>
          <w:lang w:val="es-MX"/>
        </w:rPr>
      </w:pPr>
    </w:p>
    <w:p w14:paraId="672F0D6A" w14:textId="13228ADB" w:rsidR="00DB4649" w:rsidRDefault="00DB4649" w:rsidP="00AC7F8A">
      <w:pPr>
        <w:pStyle w:val="ROMANOS"/>
        <w:spacing w:after="0" w:line="240" w:lineRule="exact"/>
        <w:ind w:left="1008" w:firstLine="0"/>
        <w:rPr>
          <w:lang w:val="es-MX"/>
        </w:rPr>
      </w:pPr>
    </w:p>
    <w:p w14:paraId="2F35A3E4" w14:textId="37DD1B60" w:rsidR="00DB4649" w:rsidRDefault="00DB4649" w:rsidP="00AC7F8A">
      <w:pPr>
        <w:pStyle w:val="ROMANOS"/>
        <w:spacing w:after="0" w:line="240" w:lineRule="exact"/>
        <w:ind w:left="1008" w:firstLine="0"/>
        <w:rPr>
          <w:lang w:val="es-MX"/>
        </w:rPr>
      </w:pPr>
    </w:p>
    <w:p w14:paraId="386FF888" w14:textId="3A9E5E43" w:rsidR="00DB4649" w:rsidRDefault="00DB4649" w:rsidP="00AC7F8A">
      <w:pPr>
        <w:pStyle w:val="ROMANOS"/>
        <w:spacing w:after="0" w:line="240" w:lineRule="exact"/>
        <w:ind w:left="1008" w:firstLine="0"/>
        <w:rPr>
          <w:lang w:val="es-MX"/>
        </w:rPr>
      </w:pPr>
    </w:p>
    <w:p w14:paraId="6892F68C" w14:textId="69093A44" w:rsidR="00DB4649" w:rsidRDefault="00DB4649" w:rsidP="00AC7F8A">
      <w:pPr>
        <w:pStyle w:val="ROMANOS"/>
        <w:spacing w:after="0" w:line="240" w:lineRule="exact"/>
        <w:ind w:left="1008" w:firstLine="0"/>
        <w:rPr>
          <w:lang w:val="es-MX"/>
        </w:rPr>
      </w:pPr>
    </w:p>
    <w:p w14:paraId="220D21A4" w14:textId="6CD0495F" w:rsidR="00DB4649" w:rsidRDefault="00DB4649" w:rsidP="00AC7F8A">
      <w:pPr>
        <w:pStyle w:val="ROMANOS"/>
        <w:spacing w:after="0" w:line="240" w:lineRule="exact"/>
        <w:ind w:left="1008" w:firstLine="0"/>
        <w:rPr>
          <w:lang w:val="es-MX"/>
        </w:rPr>
      </w:pPr>
    </w:p>
    <w:p w14:paraId="0D9BB594" w14:textId="77777777" w:rsidR="00DB4649" w:rsidRDefault="00DB4649" w:rsidP="00AC7F8A">
      <w:pPr>
        <w:pStyle w:val="ROMANOS"/>
        <w:spacing w:after="0" w:line="240" w:lineRule="exact"/>
        <w:ind w:left="1008" w:firstLine="0"/>
        <w:rPr>
          <w:lang w:val="es-MX"/>
        </w:rPr>
      </w:pPr>
    </w:p>
    <w:p w14:paraId="08F83062" w14:textId="77777777" w:rsidR="002E5ED2" w:rsidRDefault="002E5ED2" w:rsidP="00AC7F8A">
      <w:pPr>
        <w:pStyle w:val="ROMANOS"/>
        <w:spacing w:after="0" w:line="240" w:lineRule="exact"/>
        <w:ind w:left="1008" w:firstLine="0"/>
        <w:rPr>
          <w:lang w:val="es-MX"/>
        </w:rPr>
      </w:pPr>
    </w:p>
    <w:p w14:paraId="620EF950" w14:textId="77777777" w:rsidR="00AC7F8A" w:rsidRPr="00630DB0" w:rsidRDefault="00AC7F8A" w:rsidP="002E5ED2">
      <w:pPr>
        <w:pStyle w:val="INCISO"/>
        <w:spacing w:after="0" w:line="240" w:lineRule="exact"/>
        <w:ind w:left="360"/>
        <w:jc w:val="center"/>
        <w:rPr>
          <w:b/>
          <w:smallCaps/>
        </w:rPr>
      </w:pPr>
      <w:r w:rsidRPr="00630DB0">
        <w:rPr>
          <w:b/>
          <w:smallCaps/>
        </w:rPr>
        <w:t>II)</w:t>
      </w:r>
      <w:r w:rsidRPr="00630DB0">
        <w:rPr>
          <w:b/>
          <w:smallCaps/>
        </w:rPr>
        <w:tab/>
        <w:t>Notas al Estado de Actividades</w:t>
      </w:r>
    </w:p>
    <w:p w14:paraId="620EF951" w14:textId="77777777" w:rsidR="00AC7F8A" w:rsidRDefault="00AC7F8A" w:rsidP="00AC7F8A">
      <w:pPr>
        <w:pStyle w:val="INCISO"/>
        <w:spacing w:after="0" w:line="240" w:lineRule="exact"/>
        <w:ind w:left="360"/>
        <w:rPr>
          <w:b/>
          <w:smallCaps/>
        </w:rPr>
      </w:pPr>
    </w:p>
    <w:p w14:paraId="620EF954" w14:textId="77777777" w:rsidR="00AC7F8A" w:rsidRPr="00630DB0" w:rsidRDefault="00AC7F8A" w:rsidP="00AC7F8A">
      <w:pPr>
        <w:pStyle w:val="ROMANOS"/>
        <w:spacing w:after="0" w:line="240" w:lineRule="exact"/>
        <w:rPr>
          <w:b/>
          <w:lang w:val="es-MX"/>
        </w:rPr>
      </w:pPr>
      <w:r w:rsidRPr="00630DB0">
        <w:rPr>
          <w:b/>
          <w:lang w:val="es-MX"/>
        </w:rPr>
        <w:t>Ingresos de Gestión</w:t>
      </w:r>
    </w:p>
    <w:p w14:paraId="620EF955" w14:textId="255E8530" w:rsidR="00AC7F8A" w:rsidRDefault="00AC7F8A" w:rsidP="00AC7F8A">
      <w:pPr>
        <w:pStyle w:val="ROMANOS"/>
        <w:tabs>
          <w:tab w:val="clear" w:pos="720"/>
        </w:tabs>
        <w:spacing w:after="0" w:line="240" w:lineRule="exact"/>
        <w:ind w:left="284" w:firstLine="4"/>
        <w:rPr>
          <w:lang w:val="es-MX"/>
        </w:rPr>
      </w:pPr>
      <w:r w:rsidRPr="009711C5">
        <w:rPr>
          <w:lang w:val="es-MX"/>
        </w:rPr>
        <w:t>Los ingresos de</w:t>
      </w:r>
      <w:r w:rsidR="00032F70">
        <w:rPr>
          <w:lang w:val="es-MX"/>
        </w:rPr>
        <w:t xml:space="preserve"> la</w:t>
      </w:r>
      <w:r w:rsidRPr="009711C5">
        <w:rPr>
          <w:lang w:val="es-MX"/>
        </w:rPr>
        <w:t xml:space="preserve"> gestión de Salud en el rubro de Productos de Tipo Corriente corresponde</w:t>
      </w:r>
      <w:r w:rsidR="00D63B6F">
        <w:rPr>
          <w:lang w:val="es-MX"/>
        </w:rPr>
        <w:t>n</w:t>
      </w:r>
      <w:r w:rsidRPr="009711C5">
        <w:rPr>
          <w:lang w:val="es-MX"/>
        </w:rPr>
        <w:t xml:space="preserve"> a los rendimientos que generan las cuentas </w:t>
      </w:r>
      <w:r w:rsidRPr="00362148">
        <w:rPr>
          <w:lang w:val="es-MX"/>
        </w:rPr>
        <w:t>bancarias</w:t>
      </w:r>
      <w:r w:rsidR="00032F70">
        <w:rPr>
          <w:lang w:val="es-MX"/>
        </w:rPr>
        <w:t>;</w:t>
      </w:r>
      <w:r w:rsidR="007F092B">
        <w:rPr>
          <w:lang w:val="es-MX"/>
        </w:rPr>
        <w:t xml:space="preserve"> los</w:t>
      </w:r>
      <w:r w:rsidRPr="00362148">
        <w:rPr>
          <w:lang w:val="es-MX"/>
        </w:rPr>
        <w:t xml:space="preserve"> </w:t>
      </w:r>
      <w:r w:rsidR="00DC6435" w:rsidRPr="00362148">
        <w:rPr>
          <w:lang w:val="es-MX"/>
        </w:rPr>
        <w:t>ingreso</w:t>
      </w:r>
      <w:r w:rsidR="00DC6435">
        <w:rPr>
          <w:lang w:val="es-MX"/>
        </w:rPr>
        <w:t>s en el rubro de Aprovechamientos</w:t>
      </w:r>
      <w:r w:rsidR="007F092B">
        <w:rPr>
          <w:lang w:val="es-MX"/>
        </w:rPr>
        <w:t xml:space="preserve"> corresponden a</w:t>
      </w:r>
      <w:r w:rsidR="00DC6435" w:rsidRPr="00362148">
        <w:rPr>
          <w:lang w:val="es-MX"/>
        </w:rPr>
        <w:t xml:space="preserve"> sanciones a proveedores</w:t>
      </w:r>
      <w:r w:rsidR="00032F70">
        <w:rPr>
          <w:lang w:val="es-MX"/>
        </w:rPr>
        <w:t>,</w:t>
      </w:r>
      <w:r w:rsidR="00DC6435" w:rsidRPr="00362148">
        <w:rPr>
          <w:lang w:val="es-MX"/>
        </w:rPr>
        <w:t xml:space="preserve"> </w:t>
      </w:r>
      <w:r w:rsidR="00DC6435">
        <w:rPr>
          <w:lang w:val="es-MX"/>
        </w:rPr>
        <w:t xml:space="preserve">y </w:t>
      </w:r>
      <w:r w:rsidR="00362148" w:rsidRPr="00362148">
        <w:rPr>
          <w:lang w:val="es-MX"/>
        </w:rPr>
        <w:t>los</w:t>
      </w:r>
      <w:r w:rsidRPr="00362148">
        <w:rPr>
          <w:lang w:val="es-MX"/>
        </w:rPr>
        <w:t xml:space="preserve"> ingresos en el rubro de ventas de bienes y servicios </w:t>
      </w:r>
      <w:r w:rsidR="00CE4B46">
        <w:rPr>
          <w:lang w:val="es-MX"/>
        </w:rPr>
        <w:t>corresponden a Cuotas de Recuperación</w:t>
      </w:r>
      <w:r w:rsidR="00032F70">
        <w:rPr>
          <w:lang w:val="es-MX"/>
        </w:rPr>
        <w:t>.</w:t>
      </w:r>
    </w:p>
    <w:p w14:paraId="6BBBF4A0" w14:textId="77777777" w:rsidR="007F092B" w:rsidRDefault="007F092B" w:rsidP="00AC7F8A">
      <w:pPr>
        <w:pStyle w:val="ROMANOS"/>
        <w:tabs>
          <w:tab w:val="clear" w:pos="720"/>
        </w:tabs>
        <w:spacing w:after="0" w:line="240" w:lineRule="exact"/>
        <w:ind w:left="284" w:firstLine="4"/>
        <w:rPr>
          <w:lang w:val="es-MX"/>
        </w:rPr>
      </w:pPr>
    </w:p>
    <w:p w14:paraId="3464CE6F" w14:textId="77777777" w:rsidR="002E5ED2" w:rsidRDefault="002E5ED2" w:rsidP="00AC7F8A">
      <w:pPr>
        <w:pStyle w:val="ROMANOS"/>
        <w:tabs>
          <w:tab w:val="clear" w:pos="720"/>
        </w:tabs>
        <w:spacing w:after="0" w:line="240" w:lineRule="exact"/>
        <w:ind w:left="284" w:firstLine="4"/>
        <w:rPr>
          <w:lang w:val="es-MX"/>
        </w:rPr>
      </w:pPr>
    </w:p>
    <w:tbl>
      <w:tblPr>
        <w:tblStyle w:val="Tablaconcuadrcula"/>
        <w:tblW w:w="6729" w:type="dxa"/>
        <w:jc w:val="center"/>
        <w:tblLook w:val="04A0" w:firstRow="1" w:lastRow="0" w:firstColumn="1" w:lastColumn="0" w:noHBand="0" w:noVBand="1"/>
      </w:tblPr>
      <w:tblGrid>
        <w:gridCol w:w="5121"/>
        <w:gridCol w:w="1608"/>
      </w:tblGrid>
      <w:tr w:rsidR="007F092B" w:rsidRPr="00CC4C59" w14:paraId="5DE42203" w14:textId="77777777" w:rsidTr="007E57C4">
        <w:trPr>
          <w:trHeight w:val="227"/>
          <w:jc w:val="center"/>
        </w:trPr>
        <w:tc>
          <w:tcPr>
            <w:tcW w:w="5121" w:type="dxa"/>
            <w:noWrap/>
          </w:tcPr>
          <w:p w14:paraId="4E02DDEB" w14:textId="77777777" w:rsidR="007F092B" w:rsidRPr="00CC4C59" w:rsidRDefault="007F092B" w:rsidP="007E57C4">
            <w:pPr>
              <w:jc w:val="center"/>
              <w:rPr>
                <w:rFonts w:ascii="Arial" w:eastAsia="Times New Roman" w:hAnsi="Arial" w:cs="Arial"/>
                <w:sz w:val="18"/>
                <w:szCs w:val="18"/>
                <w:lang w:eastAsia="es-ES"/>
              </w:rPr>
            </w:pPr>
            <w:r w:rsidRPr="00CC4C59">
              <w:rPr>
                <w:rFonts w:ascii="Arial" w:eastAsia="Times New Roman" w:hAnsi="Arial" w:cs="Arial"/>
                <w:sz w:val="18"/>
                <w:szCs w:val="18"/>
                <w:lang w:eastAsia="es-ES"/>
              </w:rPr>
              <w:t>CONCEPTO</w:t>
            </w:r>
          </w:p>
        </w:tc>
        <w:tc>
          <w:tcPr>
            <w:tcW w:w="1608" w:type="dxa"/>
            <w:noWrap/>
          </w:tcPr>
          <w:p w14:paraId="5F085650" w14:textId="77777777" w:rsidR="007F092B" w:rsidRPr="00CC4C59" w:rsidRDefault="007F092B" w:rsidP="007E57C4">
            <w:pPr>
              <w:jc w:val="center"/>
              <w:rPr>
                <w:rFonts w:ascii="Arial" w:eastAsia="Times New Roman" w:hAnsi="Arial" w:cs="Arial"/>
                <w:sz w:val="18"/>
                <w:szCs w:val="18"/>
                <w:lang w:eastAsia="es-ES"/>
              </w:rPr>
            </w:pPr>
            <w:r w:rsidRPr="00CC4C59">
              <w:rPr>
                <w:rFonts w:ascii="Arial" w:eastAsia="Times New Roman" w:hAnsi="Arial" w:cs="Arial"/>
                <w:sz w:val="18"/>
                <w:szCs w:val="18"/>
                <w:lang w:eastAsia="es-ES"/>
              </w:rPr>
              <w:t>IMPORTE</w:t>
            </w:r>
          </w:p>
        </w:tc>
      </w:tr>
      <w:tr w:rsidR="00611646" w:rsidRPr="00CC4C59" w14:paraId="2B85EF99" w14:textId="77777777" w:rsidTr="0011163A">
        <w:trPr>
          <w:trHeight w:val="227"/>
          <w:jc w:val="center"/>
        </w:trPr>
        <w:tc>
          <w:tcPr>
            <w:tcW w:w="5121" w:type="dxa"/>
            <w:noWrap/>
            <w:hideMark/>
          </w:tcPr>
          <w:p w14:paraId="13F9BCF6" w14:textId="7AA7F17F" w:rsidR="00611646" w:rsidRPr="00CC4C59" w:rsidRDefault="00611646" w:rsidP="00611646">
            <w:pPr>
              <w:rPr>
                <w:rFonts w:ascii="Arial" w:eastAsia="Times New Roman" w:hAnsi="Arial" w:cs="Arial"/>
                <w:sz w:val="18"/>
                <w:szCs w:val="18"/>
                <w:lang w:eastAsia="es-ES"/>
              </w:rPr>
            </w:pPr>
            <w:r w:rsidRPr="00CC4C59">
              <w:rPr>
                <w:rFonts w:ascii="Arial" w:hAnsi="Arial" w:cs="Arial"/>
                <w:color w:val="000000"/>
                <w:sz w:val="18"/>
                <w:szCs w:val="18"/>
              </w:rPr>
              <w:t xml:space="preserve">Productos </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D2E41C" w14:textId="4F69E568" w:rsidR="005C093D" w:rsidRPr="00CC4C59" w:rsidRDefault="005C093D" w:rsidP="005C093D">
            <w:pPr>
              <w:jc w:val="right"/>
              <w:rPr>
                <w:rFonts w:ascii="Arial" w:hAnsi="Arial" w:cs="Arial"/>
                <w:noProof/>
                <w:sz w:val="18"/>
                <w:szCs w:val="18"/>
              </w:rPr>
            </w:pPr>
            <w:r>
              <w:rPr>
                <w:rFonts w:ascii="Arial" w:hAnsi="Arial" w:cs="Arial"/>
                <w:noProof/>
                <w:sz w:val="18"/>
                <w:szCs w:val="18"/>
              </w:rPr>
              <w:t>1,474,774.47</w:t>
            </w:r>
          </w:p>
        </w:tc>
      </w:tr>
      <w:tr w:rsidR="0011163A" w:rsidRPr="00CC4C59" w14:paraId="338F5007" w14:textId="77777777" w:rsidTr="0011163A">
        <w:trPr>
          <w:trHeight w:val="227"/>
          <w:jc w:val="center"/>
        </w:trPr>
        <w:tc>
          <w:tcPr>
            <w:tcW w:w="5121" w:type="dxa"/>
            <w:noWrap/>
          </w:tcPr>
          <w:p w14:paraId="3AAD5607" w14:textId="1E4F7ADC" w:rsidR="0011163A" w:rsidRPr="00CC4C59" w:rsidRDefault="0011163A" w:rsidP="0011163A">
            <w:pPr>
              <w:rPr>
                <w:rFonts w:ascii="Arial" w:eastAsia="Times New Roman" w:hAnsi="Arial" w:cs="Arial"/>
                <w:sz w:val="18"/>
                <w:szCs w:val="18"/>
                <w:lang w:eastAsia="es-ES"/>
              </w:rPr>
            </w:pPr>
            <w:r w:rsidRPr="00CC4C59">
              <w:rPr>
                <w:rFonts w:ascii="Arial" w:hAnsi="Arial" w:cs="Arial"/>
                <w:sz w:val="18"/>
                <w:szCs w:val="18"/>
              </w:rPr>
              <w:t>Multas (Sanciones a proveedores)</w:t>
            </w:r>
          </w:p>
        </w:tc>
        <w:tc>
          <w:tcPr>
            <w:tcW w:w="16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A2237" w14:textId="441D305F" w:rsidR="0011163A" w:rsidRPr="00CC4C59" w:rsidRDefault="005C093D" w:rsidP="00F35D1D">
            <w:pPr>
              <w:jc w:val="right"/>
              <w:rPr>
                <w:rFonts w:ascii="Arial" w:hAnsi="Arial" w:cs="Arial"/>
                <w:noProof/>
                <w:sz w:val="18"/>
                <w:szCs w:val="18"/>
              </w:rPr>
            </w:pPr>
            <w:r>
              <w:rPr>
                <w:rFonts w:ascii="Arial" w:hAnsi="Arial" w:cs="Arial"/>
                <w:noProof/>
                <w:sz w:val="18"/>
                <w:szCs w:val="18"/>
              </w:rPr>
              <w:t>0.00</w:t>
            </w:r>
          </w:p>
        </w:tc>
      </w:tr>
      <w:tr w:rsidR="0011163A" w:rsidRPr="00CC4C59" w14:paraId="40B9BB93" w14:textId="77777777" w:rsidTr="0011163A">
        <w:trPr>
          <w:trHeight w:val="227"/>
          <w:jc w:val="center"/>
        </w:trPr>
        <w:tc>
          <w:tcPr>
            <w:tcW w:w="5121" w:type="dxa"/>
            <w:noWrap/>
          </w:tcPr>
          <w:p w14:paraId="359CB31A" w14:textId="62D71515" w:rsidR="0011163A" w:rsidRPr="00CC4C59" w:rsidRDefault="0011163A" w:rsidP="0011163A">
            <w:pPr>
              <w:rPr>
                <w:rFonts w:ascii="Arial" w:eastAsia="Times New Roman" w:hAnsi="Arial" w:cs="Arial"/>
                <w:sz w:val="18"/>
                <w:szCs w:val="18"/>
                <w:lang w:eastAsia="es-ES"/>
              </w:rPr>
            </w:pPr>
            <w:r w:rsidRPr="00CC4C59">
              <w:rPr>
                <w:rFonts w:ascii="Arial" w:hAnsi="Arial" w:cs="Arial"/>
                <w:color w:val="000000"/>
                <w:sz w:val="18"/>
                <w:szCs w:val="18"/>
              </w:rPr>
              <w:t>Ingresos por Venta de Bienes y Prestación de Servicios de Entidades Paraestatales y Fideicomisos No Empresariales y No Financieros</w:t>
            </w:r>
          </w:p>
        </w:tc>
        <w:tc>
          <w:tcPr>
            <w:tcW w:w="1608" w:type="dxa"/>
            <w:tcBorders>
              <w:top w:val="nil"/>
              <w:left w:val="single" w:sz="4" w:space="0" w:color="auto"/>
              <w:bottom w:val="single" w:sz="4" w:space="0" w:color="auto"/>
              <w:right w:val="single" w:sz="4" w:space="0" w:color="auto"/>
            </w:tcBorders>
            <w:shd w:val="clear" w:color="auto" w:fill="auto"/>
            <w:noWrap/>
            <w:vAlign w:val="bottom"/>
          </w:tcPr>
          <w:p w14:paraId="578FBFB1" w14:textId="4AE6385F" w:rsidR="0011163A" w:rsidRPr="00F35D1D" w:rsidRDefault="00F35D1D" w:rsidP="005C093D">
            <w:pPr>
              <w:jc w:val="right"/>
              <w:rPr>
                <w:rFonts w:ascii="Arial" w:hAnsi="Arial" w:cs="Arial"/>
                <w:noProof/>
                <w:sz w:val="18"/>
                <w:szCs w:val="18"/>
              </w:rPr>
            </w:pPr>
            <w:r w:rsidRPr="00F35D1D">
              <w:rPr>
                <w:rFonts w:ascii="Arial" w:hAnsi="Arial" w:cs="Arial"/>
                <w:noProof/>
                <w:sz w:val="18"/>
                <w:szCs w:val="18"/>
              </w:rPr>
              <w:t>1</w:t>
            </w:r>
            <w:r w:rsidR="005C093D">
              <w:rPr>
                <w:rFonts w:ascii="Arial" w:hAnsi="Arial" w:cs="Arial"/>
                <w:noProof/>
                <w:sz w:val="18"/>
                <w:szCs w:val="18"/>
              </w:rPr>
              <w:t>,</w:t>
            </w:r>
            <w:r w:rsidRPr="00F35D1D">
              <w:rPr>
                <w:rFonts w:ascii="Arial" w:hAnsi="Arial" w:cs="Arial"/>
                <w:noProof/>
                <w:sz w:val="18"/>
                <w:szCs w:val="18"/>
              </w:rPr>
              <w:t>0</w:t>
            </w:r>
            <w:r w:rsidR="005C093D">
              <w:rPr>
                <w:rFonts w:ascii="Arial" w:hAnsi="Arial" w:cs="Arial"/>
                <w:noProof/>
                <w:sz w:val="18"/>
                <w:szCs w:val="18"/>
              </w:rPr>
              <w:t>22</w:t>
            </w:r>
            <w:r w:rsidRPr="00F35D1D">
              <w:rPr>
                <w:rFonts w:ascii="Arial" w:hAnsi="Arial" w:cs="Arial"/>
                <w:noProof/>
                <w:sz w:val="18"/>
                <w:szCs w:val="18"/>
              </w:rPr>
              <w:t>,</w:t>
            </w:r>
            <w:r w:rsidR="005C093D">
              <w:rPr>
                <w:rFonts w:ascii="Arial" w:hAnsi="Arial" w:cs="Arial"/>
                <w:noProof/>
                <w:sz w:val="18"/>
                <w:szCs w:val="18"/>
              </w:rPr>
              <w:t>452</w:t>
            </w:r>
            <w:r w:rsidRPr="00F35D1D">
              <w:rPr>
                <w:rFonts w:ascii="Arial" w:hAnsi="Arial" w:cs="Arial"/>
                <w:noProof/>
                <w:sz w:val="18"/>
                <w:szCs w:val="18"/>
              </w:rPr>
              <w:t>.</w:t>
            </w:r>
            <w:r w:rsidR="005C093D">
              <w:rPr>
                <w:rFonts w:ascii="Arial" w:hAnsi="Arial" w:cs="Arial"/>
                <w:noProof/>
                <w:sz w:val="18"/>
                <w:szCs w:val="18"/>
              </w:rPr>
              <w:t>00</w:t>
            </w:r>
          </w:p>
        </w:tc>
      </w:tr>
      <w:tr w:rsidR="0011163A" w:rsidRPr="00323DA4" w14:paraId="212DCC44" w14:textId="77777777" w:rsidTr="007E57C4">
        <w:trPr>
          <w:trHeight w:val="227"/>
          <w:jc w:val="center"/>
        </w:trPr>
        <w:tc>
          <w:tcPr>
            <w:tcW w:w="5121" w:type="dxa"/>
            <w:noWrap/>
          </w:tcPr>
          <w:p w14:paraId="6A7219ED" w14:textId="0D8EB26F" w:rsidR="0011163A" w:rsidRPr="00323DA4" w:rsidRDefault="00323DA4" w:rsidP="0011163A">
            <w:pPr>
              <w:rPr>
                <w:rFonts w:ascii="Arial" w:eastAsia="Times New Roman" w:hAnsi="Arial" w:cs="Arial"/>
                <w:b/>
                <w:sz w:val="18"/>
                <w:szCs w:val="18"/>
                <w:lang w:eastAsia="es-ES"/>
              </w:rPr>
            </w:pPr>
            <w:r w:rsidRPr="00323DA4">
              <w:rPr>
                <w:rFonts w:ascii="Arial" w:eastAsia="Times New Roman" w:hAnsi="Arial" w:cs="Arial"/>
                <w:b/>
                <w:sz w:val="18"/>
                <w:szCs w:val="18"/>
                <w:lang w:eastAsia="es-ES"/>
              </w:rPr>
              <w:t>Suma</w:t>
            </w:r>
          </w:p>
        </w:tc>
        <w:tc>
          <w:tcPr>
            <w:tcW w:w="1608" w:type="dxa"/>
            <w:noWrap/>
          </w:tcPr>
          <w:p w14:paraId="365976C2" w14:textId="2F77B501" w:rsidR="0011163A" w:rsidRPr="00323DA4" w:rsidRDefault="005C093D" w:rsidP="0011163A">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2,497,226.47</w:t>
            </w:r>
            <w:r>
              <w:rPr>
                <w:rFonts w:ascii="Arial" w:hAnsi="Arial" w:cs="Arial"/>
                <w:b/>
                <w:sz w:val="18"/>
                <w:szCs w:val="18"/>
              </w:rPr>
              <w:fldChar w:fldCharType="end"/>
            </w:r>
          </w:p>
        </w:tc>
      </w:tr>
    </w:tbl>
    <w:p w14:paraId="543FABDF" w14:textId="77777777" w:rsidR="00420E80" w:rsidRDefault="00420E80" w:rsidP="00AC7F8A">
      <w:pPr>
        <w:pStyle w:val="ROMANOS"/>
        <w:tabs>
          <w:tab w:val="clear" w:pos="720"/>
        </w:tabs>
        <w:spacing w:after="0" w:line="240" w:lineRule="exact"/>
        <w:ind w:left="284" w:firstLine="4"/>
        <w:rPr>
          <w:highlight w:val="yellow"/>
          <w:lang w:val="es-MX"/>
        </w:rPr>
      </w:pPr>
    </w:p>
    <w:p w14:paraId="620EF957" w14:textId="77777777" w:rsidR="00AC7F8A" w:rsidRPr="0073056A" w:rsidRDefault="00AC7F8A" w:rsidP="00AC7F8A">
      <w:pPr>
        <w:tabs>
          <w:tab w:val="left" w:pos="284"/>
        </w:tabs>
        <w:spacing w:after="0"/>
        <w:ind w:left="284"/>
        <w:jc w:val="both"/>
        <w:rPr>
          <w:rFonts w:ascii="Arial" w:hAnsi="Arial" w:cs="Arial"/>
          <w:b/>
          <w:sz w:val="18"/>
          <w:szCs w:val="18"/>
        </w:rPr>
      </w:pPr>
      <w:r w:rsidRPr="00A33146">
        <w:rPr>
          <w:rFonts w:ascii="Arial" w:hAnsi="Arial" w:cs="Arial"/>
          <w:b/>
          <w:sz w:val="18"/>
          <w:szCs w:val="18"/>
        </w:rPr>
        <w:t>Participaciones, Aportaciones, Transferencias, Asignaciones, Subsidios y Otras Ayudas</w:t>
      </w:r>
    </w:p>
    <w:p w14:paraId="620EF958" w14:textId="31DC7597" w:rsidR="00AC7F8A" w:rsidRDefault="00467D58" w:rsidP="00AC7F8A">
      <w:pPr>
        <w:autoSpaceDE w:val="0"/>
        <w:autoSpaceDN w:val="0"/>
        <w:adjustRightInd w:val="0"/>
        <w:spacing w:after="0" w:line="240" w:lineRule="auto"/>
        <w:ind w:left="284"/>
        <w:jc w:val="both"/>
        <w:rPr>
          <w:rFonts w:ascii="Arial" w:hAnsi="Arial" w:cs="Arial"/>
          <w:sz w:val="18"/>
          <w:szCs w:val="18"/>
        </w:rPr>
      </w:pPr>
      <w:r>
        <w:rPr>
          <w:rFonts w:ascii="ArialMT" w:hAnsi="ArialMT" w:cs="ArialMT"/>
          <w:sz w:val="18"/>
          <w:szCs w:val="18"/>
          <w:lang w:val="es-ES"/>
        </w:rPr>
        <w:t>L</w:t>
      </w:r>
      <w:r w:rsidR="00AC7F8A">
        <w:rPr>
          <w:rFonts w:ascii="ArialMT" w:hAnsi="ArialMT" w:cs="ArialMT"/>
          <w:sz w:val="18"/>
          <w:szCs w:val="18"/>
          <w:lang w:val="es-ES"/>
        </w:rPr>
        <w:t xml:space="preserve">os recursos que </w:t>
      </w:r>
      <w:r w:rsidR="002E5ED2">
        <w:rPr>
          <w:rFonts w:ascii="ArialMT" w:hAnsi="ArialMT" w:cs="ArialMT"/>
          <w:sz w:val="18"/>
          <w:szCs w:val="18"/>
          <w:lang w:val="es-ES"/>
        </w:rPr>
        <w:t xml:space="preserve">se </w:t>
      </w:r>
      <w:r w:rsidR="00AC7F8A">
        <w:rPr>
          <w:rFonts w:ascii="ArialMT" w:hAnsi="ArialMT" w:cs="ArialMT"/>
          <w:sz w:val="18"/>
          <w:szCs w:val="18"/>
          <w:lang w:val="es-ES"/>
        </w:rPr>
        <w:t>recibe</w:t>
      </w:r>
      <w:r w:rsidR="002E5ED2">
        <w:rPr>
          <w:rFonts w:ascii="ArialMT" w:hAnsi="ArialMT" w:cs="ArialMT"/>
          <w:sz w:val="18"/>
          <w:szCs w:val="18"/>
          <w:lang w:val="es-ES"/>
        </w:rPr>
        <w:t>n</w:t>
      </w:r>
      <w:r w:rsidR="00AC7F8A">
        <w:rPr>
          <w:rFonts w:ascii="ArialMT" w:hAnsi="ArialMT" w:cs="ArialMT"/>
          <w:sz w:val="18"/>
          <w:szCs w:val="18"/>
          <w:lang w:val="es-ES"/>
        </w:rPr>
        <w:t xml:space="preserve"> </w:t>
      </w:r>
      <w:r w:rsidR="003C1E83">
        <w:rPr>
          <w:rFonts w:ascii="ArialMT" w:hAnsi="ArialMT" w:cs="ArialMT"/>
          <w:sz w:val="18"/>
          <w:szCs w:val="18"/>
          <w:lang w:val="es-ES"/>
        </w:rPr>
        <w:t xml:space="preserve">en </w:t>
      </w:r>
      <w:r w:rsidR="00CC4C59">
        <w:rPr>
          <w:rFonts w:ascii="ArialMT" w:hAnsi="ArialMT" w:cs="ArialMT"/>
          <w:sz w:val="18"/>
          <w:szCs w:val="18"/>
          <w:lang w:val="es-ES"/>
        </w:rPr>
        <w:t xml:space="preserve">esta </w:t>
      </w:r>
      <w:r w:rsidR="00CC4C59" w:rsidRPr="00CC4C59">
        <w:rPr>
          <w:rFonts w:ascii="Arial" w:hAnsi="Arial" w:cs="Arial"/>
          <w:color w:val="000000"/>
          <w:sz w:val="18"/>
          <w:szCs w:val="18"/>
        </w:rPr>
        <w:t>Entidad Paraestatal No Empresarial y No Financier</w:t>
      </w:r>
      <w:r w:rsidR="00CC4C59">
        <w:rPr>
          <w:rFonts w:ascii="Arial" w:hAnsi="Arial" w:cs="Arial"/>
          <w:color w:val="000000"/>
          <w:sz w:val="18"/>
          <w:szCs w:val="18"/>
        </w:rPr>
        <w:t>a</w:t>
      </w:r>
      <w:r w:rsidR="003C1E83">
        <w:rPr>
          <w:rFonts w:ascii="Arial" w:hAnsi="Arial" w:cs="Arial"/>
          <w:color w:val="000000"/>
          <w:sz w:val="18"/>
          <w:szCs w:val="18"/>
        </w:rPr>
        <w:t>,</w:t>
      </w:r>
      <w:r w:rsidR="00CC4C59">
        <w:rPr>
          <w:rFonts w:ascii="Arial" w:hAnsi="Arial" w:cs="Arial"/>
          <w:color w:val="000000"/>
          <w:sz w:val="18"/>
          <w:szCs w:val="18"/>
        </w:rPr>
        <w:t xml:space="preserve"> </w:t>
      </w:r>
      <w:r w:rsidR="00CC4C59">
        <w:rPr>
          <w:rFonts w:ascii="ArialMT" w:hAnsi="ArialMT" w:cs="ArialMT"/>
          <w:sz w:val="18"/>
          <w:szCs w:val="18"/>
          <w:lang w:val="es-ES"/>
        </w:rPr>
        <w:t>para el sostenimiento y desempeño de sus actividades</w:t>
      </w:r>
      <w:r>
        <w:rPr>
          <w:rFonts w:ascii="ArialMT" w:hAnsi="ArialMT" w:cs="ArialMT"/>
          <w:sz w:val="18"/>
          <w:szCs w:val="18"/>
          <w:lang w:val="es-ES"/>
        </w:rPr>
        <w:t xml:space="preserve">, </w:t>
      </w:r>
      <w:r w:rsidR="002E5ED2">
        <w:rPr>
          <w:rFonts w:ascii="ArialMT" w:hAnsi="ArialMT" w:cs="ArialMT"/>
          <w:sz w:val="18"/>
          <w:szCs w:val="18"/>
          <w:lang w:val="es-ES"/>
        </w:rPr>
        <w:t>se registran en</w:t>
      </w:r>
      <w:r>
        <w:rPr>
          <w:rFonts w:ascii="ArialMT" w:hAnsi="ArialMT" w:cs="ArialMT"/>
          <w:sz w:val="18"/>
          <w:szCs w:val="18"/>
          <w:lang w:val="es-ES"/>
        </w:rPr>
        <w:t xml:space="preserve"> </w:t>
      </w:r>
      <w:r w:rsidR="002E5ED2">
        <w:rPr>
          <w:rFonts w:ascii="ArialMT" w:hAnsi="ArialMT" w:cs="ArialMT"/>
          <w:sz w:val="18"/>
          <w:szCs w:val="18"/>
          <w:lang w:val="es-ES"/>
        </w:rPr>
        <w:t>e</w:t>
      </w:r>
      <w:r>
        <w:rPr>
          <w:rFonts w:ascii="ArialMT" w:hAnsi="ArialMT" w:cs="ArialMT"/>
          <w:sz w:val="18"/>
          <w:szCs w:val="18"/>
          <w:lang w:val="es-ES"/>
        </w:rPr>
        <w:t>l rubro de</w:t>
      </w:r>
      <w:r w:rsidRPr="00467D58">
        <w:rPr>
          <w:rFonts w:ascii="ArialMT" w:hAnsi="ArialMT" w:cs="ArialMT"/>
          <w:sz w:val="18"/>
          <w:szCs w:val="18"/>
          <w:lang w:val="es-ES"/>
        </w:rPr>
        <w:t xml:space="preserve"> </w:t>
      </w:r>
      <w:r w:rsidRPr="00D24540">
        <w:rPr>
          <w:rFonts w:ascii="ArialMT" w:hAnsi="ArialMT" w:cs="ArialMT"/>
          <w:sz w:val="18"/>
          <w:szCs w:val="18"/>
          <w:lang w:val="es-ES"/>
        </w:rPr>
        <w:t>Transferencias y Asignaciones</w:t>
      </w:r>
      <w:r w:rsidR="00CC4C59">
        <w:rPr>
          <w:rFonts w:ascii="ArialMT" w:hAnsi="ArialMT" w:cs="ArialMT"/>
          <w:sz w:val="18"/>
          <w:szCs w:val="18"/>
          <w:lang w:val="es-ES"/>
        </w:rPr>
        <w:t>.</w:t>
      </w:r>
    </w:p>
    <w:p w14:paraId="620EF959" w14:textId="77777777" w:rsidR="00AC7F8A" w:rsidRDefault="00AC7F8A" w:rsidP="00AC7F8A">
      <w:pPr>
        <w:autoSpaceDE w:val="0"/>
        <w:autoSpaceDN w:val="0"/>
        <w:adjustRightInd w:val="0"/>
        <w:spacing w:after="0" w:line="240" w:lineRule="auto"/>
        <w:ind w:left="284"/>
        <w:jc w:val="both"/>
        <w:rPr>
          <w:rFonts w:ascii="Arial" w:hAnsi="Arial" w:cs="Arial"/>
          <w:sz w:val="18"/>
          <w:szCs w:val="18"/>
        </w:rPr>
      </w:pPr>
    </w:p>
    <w:p w14:paraId="23855FBF" w14:textId="77777777" w:rsidR="00670D29" w:rsidRDefault="00670D29" w:rsidP="00AC7F8A">
      <w:pPr>
        <w:autoSpaceDE w:val="0"/>
        <w:autoSpaceDN w:val="0"/>
        <w:adjustRightInd w:val="0"/>
        <w:spacing w:after="0" w:line="240" w:lineRule="auto"/>
        <w:ind w:left="284"/>
        <w:jc w:val="both"/>
        <w:rPr>
          <w:rFonts w:ascii="Arial" w:hAnsi="Arial" w:cs="Arial"/>
          <w:sz w:val="18"/>
          <w:szCs w:val="18"/>
        </w:rPr>
      </w:pPr>
    </w:p>
    <w:tbl>
      <w:tblPr>
        <w:tblStyle w:val="Tablaconcuadrcula"/>
        <w:tblW w:w="10638" w:type="dxa"/>
        <w:jc w:val="center"/>
        <w:tblLayout w:type="fixed"/>
        <w:tblLook w:val="04A0" w:firstRow="1" w:lastRow="0" w:firstColumn="1" w:lastColumn="0" w:noHBand="0" w:noVBand="1"/>
      </w:tblPr>
      <w:tblGrid>
        <w:gridCol w:w="8500"/>
        <w:gridCol w:w="2138"/>
      </w:tblGrid>
      <w:tr w:rsidR="00863EC2" w:rsidRPr="00670D29" w14:paraId="620EF95D" w14:textId="77777777" w:rsidTr="00670D29">
        <w:trPr>
          <w:trHeight w:val="385"/>
          <w:jc w:val="center"/>
        </w:trPr>
        <w:tc>
          <w:tcPr>
            <w:tcW w:w="8500" w:type="dxa"/>
            <w:hideMark/>
          </w:tcPr>
          <w:p w14:paraId="620EF95A" w14:textId="77777777" w:rsidR="00863EC2" w:rsidRPr="00670D29" w:rsidRDefault="00863EC2" w:rsidP="00AD6257">
            <w:pPr>
              <w:jc w:val="center"/>
              <w:rPr>
                <w:rFonts w:ascii="Arial" w:eastAsia="Times New Roman" w:hAnsi="Arial" w:cs="Arial"/>
                <w:color w:val="000000"/>
                <w:sz w:val="18"/>
                <w:szCs w:val="18"/>
                <w:lang w:val="es-ES" w:eastAsia="es-ES"/>
              </w:rPr>
            </w:pPr>
            <w:r w:rsidRPr="00670D29">
              <w:rPr>
                <w:rFonts w:ascii="Arial" w:eastAsia="Times New Roman" w:hAnsi="Arial" w:cs="Arial"/>
                <w:color w:val="000000"/>
                <w:sz w:val="18"/>
                <w:szCs w:val="18"/>
                <w:lang w:val="es-ES" w:eastAsia="es-ES"/>
              </w:rPr>
              <w:t>CONCEPTO</w:t>
            </w:r>
          </w:p>
        </w:tc>
        <w:tc>
          <w:tcPr>
            <w:tcW w:w="2138" w:type="dxa"/>
            <w:hideMark/>
          </w:tcPr>
          <w:p w14:paraId="620EF95B" w14:textId="77777777" w:rsidR="00863EC2" w:rsidRPr="00670D29" w:rsidRDefault="00863EC2" w:rsidP="00AD6257">
            <w:pPr>
              <w:jc w:val="center"/>
              <w:rPr>
                <w:rFonts w:ascii="Arial" w:eastAsia="Times New Roman" w:hAnsi="Arial" w:cs="Arial"/>
                <w:color w:val="000000"/>
                <w:sz w:val="18"/>
                <w:szCs w:val="18"/>
                <w:lang w:val="es-ES" w:eastAsia="es-ES"/>
              </w:rPr>
            </w:pPr>
            <w:r w:rsidRPr="00670D29">
              <w:rPr>
                <w:rFonts w:ascii="Arial" w:eastAsia="Times New Roman" w:hAnsi="Arial" w:cs="Arial"/>
                <w:color w:val="000000"/>
                <w:sz w:val="18"/>
                <w:szCs w:val="18"/>
                <w:lang w:val="es-ES" w:eastAsia="es-ES"/>
              </w:rPr>
              <w:t>MONTO DEVENGADO</w:t>
            </w:r>
          </w:p>
        </w:tc>
      </w:tr>
      <w:tr w:rsidR="00670D29" w:rsidRPr="00670D29" w14:paraId="620EF961" w14:textId="77777777" w:rsidTr="007C6888">
        <w:trPr>
          <w:trHeight w:val="227"/>
          <w:jc w:val="center"/>
        </w:trPr>
        <w:tc>
          <w:tcPr>
            <w:tcW w:w="8500" w:type="dxa"/>
          </w:tcPr>
          <w:p w14:paraId="620EF95E" w14:textId="4E1E4CDA" w:rsidR="00670D29" w:rsidRPr="00670D29" w:rsidRDefault="00670D29" w:rsidP="00670D29">
            <w:pPr>
              <w:rPr>
                <w:rFonts w:ascii="Arial" w:hAnsi="Arial" w:cs="Arial"/>
                <w:sz w:val="18"/>
                <w:szCs w:val="18"/>
              </w:rPr>
            </w:pPr>
            <w:r w:rsidRPr="00670D29">
              <w:rPr>
                <w:rFonts w:ascii="Arial" w:hAnsi="Arial" w:cs="Arial"/>
                <w:sz w:val="18"/>
                <w:szCs w:val="18"/>
              </w:rPr>
              <w:t xml:space="preserve"> Fondo general de participaciones (</w:t>
            </w:r>
            <w:proofErr w:type="spellStart"/>
            <w:r w:rsidRPr="00670D29">
              <w:rPr>
                <w:rFonts w:ascii="Arial" w:hAnsi="Arial" w:cs="Arial"/>
                <w:sz w:val="18"/>
                <w:szCs w:val="18"/>
              </w:rPr>
              <w:t>serv</w:t>
            </w:r>
            <w:proofErr w:type="spellEnd"/>
            <w:r w:rsidRPr="00670D29">
              <w:rPr>
                <w:rFonts w:ascii="Arial" w:hAnsi="Arial" w:cs="Arial"/>
                <w:sz w:val="18"/>
                <w:szCs w:val="18"/>
              </w:rPr>
              <w:t xml:space="preserve"> </w:t>
            </w:r>
            <w:proofErr w:type="spellStart"/>
            <w:r w:rsidRPr="00670D29">
              <w:rPr>
                <w:rFonts w:ascii="Arial" w:hAnsi="Arial" w:cs="Arial"/>
                <w:sz w:val="18"/>
                <w:szCs w:val="18"/>
              </w:rPr>
              <w:t>pers</w:t>
            </w:r>
            <w:proofErr w:type="spellEnd"/>
            <w:r w:rsidRPr="00670D29">
              <w:rPr>
                <w:rFonts w:ascii="Arial" w:hAnsi="Arial" w:cs="Arial"/>
                <w:sz w:val="18"/>
                <w:szCs w:val="18"/>
              </w:rPr>
              <w:t>)</w:t>
            </w:r>
          </w:p>
        </w:tc>
        <w:tc>
          <w:tcPr>
            <w:tcW w:w="2138" w:type="dxa"/>
          </w:tcPr>
          <w:p w14:paraId="620EF95F" w14:textId="6C0BF8CE" w:rsidR="00670D29" w:rsidRPr="00670D29" w:rsidRDefault="00670D29" w:rsidP="00670D29">
            <w:pPr>
              <w:jc w:val="right"/>
              <w:rPr>
                <w:rFonts w:ascii="Arial" w:hAnsi="Arial" w:cs="Arial"/>
                <w:noProof/>
                <w:sz w:val="18"/>
                <w:szCs w:val="18"/>
              </w:rPr>
            </w:pPr>
            <w:r w:rsidRPr="00670D29">
              <w:rPr>
                <w:rFonts w:ascii="Arial" w:hAnsi="Arial" w:cs="Arial"/>
                <w:sz w:val="18"/>
                <w:szCs w:val="18"/>
              </w:rPr>
              <w:t xml:space="preserve"> 43,545,709.00 </w:t>
            </w:r>
          </w:p>
        </w:tc>
      </w:tr>
      <w:tr w:rsidR="00670D29" w:rsidRPr="00670D29" w14:paraId="7F8601AA" w14:textId="77777777" w:rsidTr="007C6888">
        <w:trPr>
          <w:trHeight w:val="227"/>
          <w:jc w:val="center"/>
        </w:trPr>
        <w:tc>
          <w:tcPr>
            <w:tcW w:w="8500" w:type="dxa"/>
          </w:tcPr>
          <w:p w14:paraId="4B7079B7" w14:textId="25EA548B" w:rsidR="00670D29" w:rsidRPr="00670D29" w:rsidRDefault="00670D29" w:rsidP="00670D29">
            <w:pPr>
              <w:rPr>
                <w:rFonts w:ascii="Arial" w:hAnsi="Arial" w:cs="Arial"/>
                <w:sz w:val="18"/>
                <w:szCs w:val="18"/>
              </w:rPr>
            </w:pPr>
            <w:r w:rsidRPr="00670D29">
              <w:rPr>
                <w:rFonts w:ascii="Arial" w:hAnsi="Arial" w:cs="Arial"/>
                <w:sz w:val="18"/>
                <w:szCs w:val="18"/>
              </w:rPr>
              <w:t xml:space="preserve"> Fondo del impuesto sobre renta</w:t>
            </w:r>
          </w:p>
        </w:tc>
        <w:tc>
          <w:tcPr>
            <w:tcW w:w="2138" w:type="dxa"/>
          </w:tcPr>
          <w:p w14:paraId="34FA406A" w14:textId="2254DEEA" w:rsidR="00670D29" w:rsidRPr="00670D29" w:rsidRDefault="00670D29" w:rsidP="00670D29">
            <w:pPr>
              <w:jc w:val="right"/>
              <w:rPr>
                <w:rFonts w:ascii="Arial" w:hAnsi="Arial" w:cs="Arial"/>
                <w:noProof/>
                <w:sz w:val="18"/>
                <w:szCs w:val="18"/>
              </w:rPr>
            </w:pPr>
            <w:r w:rsidRPr="00670D29">
              <w:rPr>
                <w:rFonts w:ascii="Arial" w:hAnsi="Arial" w:cs="Arial"/>
                <w:sz w:val="18"/>
                <w:szCs w:val="18"/>
              </w:rPr>
              <w:t xml:space="preserve"> 53,925,903.00 </w:t>
            </w:r>
          </w:p>
        </w:tc>
      </w:tr>
      <w:tr w:rsidR="00670D29" w:rsidRPr="00670D29" w14:paraId="060891DB" w14:textId="77777777" w:rsidTr="007C6888">
        <w:trPr>
          <w:trHeight w:val="227"/>
          <w:jc w:val="center"/>
        </w:trPr>
        <w:tc>
          <w:tcPr>
            <w:tcW w:w="8500" w:type="dxa"/>
          </w:tcPr>
          <w:p w14:paraId="6E821FD2" w14:textId="6671E730" w:rsidR="00670D29" w:rsidRPr="00670D29" w:rsidRDefault="00670D29" w:rsidP="00670D29">
            <w:pPr>
              <w:rPr>
                <w:rFonts w:ascii="Arial" w:hAnsi="Arial" w:cs="Arial"/>
                <w:sz w:val="18"/>
                <w:szCs w:val="18"/>
              </w:rPr>
            </w:pPr>
            <w:r w:rsidRPr="00670D29">
              <w:rPr>
                <w:rFonts w:ascii="Arial" w:hAnsi="Arial" w:cs="Arial"/>
                <w:sz w:val="18"/>
                <w:szCs w:val="18"/>
              </w:rPr>
              <w:t xml:space="preserve"> Participaciones derivados de ingresos locales</w:t>
            </w:r>
          </w:p>
        </w:tc>
        <w:tc>
          <w:tcPr>
            <w:tcW w:w="2138" w:type="dxa"/>
          </w:tcPr>
          <w:p w14:paraId="110BA012" w14:textId="2CF87606" w:rsidR="00670D29" w:rsidRPr="00670D29" w:rsidRDefault="00670D29" w:rsidP="00670D29">
            <w:pPr>
              <w:jc w:val="right"/>
              <w:rPr>
                <w:rFonts w:ascii="Arial" w:hAnsi="Arial" w:cs="Arial"/>
                <w:noProof/>
                <w:sz w:val="18"/>
                <w:szCs w:val="18"/>
              </w:rPr>
            </w:pPr>
            <w:r w:rsidRPr="00670D29">
              <w:rPr>
                <w:rFonts w:ascii="Arial" w:hAnsi="Arial" w:cs="Arial"/>
                <w:sz w:val="18"/>
                <w:szCs w:val="18"/>
              </w:rPr>
              <w:t xml:space="preserve"> 35,380,399.50 </w:t>
            </w:r>
          </w:p>
        </w:tc>
      </w:tr>
      <w:tr w:rsidR="00670D29" w:rsidRPr="00670D29" w14:paraId="568A6E75" w14:textId="77777777" w:rsidTr="007C6888">
        <w:trPr>
          <w:trHeight w:val="227"/>
          <w:jc w:val="center"/>
        </w:trPr>
        <w:tc>
          <w:tcPr>
            <w:tcW w:w="8500" w:type="dxa"/>
          </w:tcPr>
          <w:p w14:paraId="60A9E10D" w14:textId="4FF15A4D" w:rsidR="00670D29" w:rsidRPr="00670D29" w:rsidRDefault="00670D29" w:rsidP="00670D29">
            <w:pPr>
              <w:rPr>
                <w:rFonts w:ascii="Arial" w:hAnsi="Arial" w:cs="Arial"/>
                <w:sz w:val="18"/>
                <w:szCs w:val="18"/>
              </w:rPr>
            </w:pPr>
            <w:r w:rsidRPr="00670D29">
              <w:rPr>
                <w:rFonts w:ascii="Arial" w:hAnsi="Arial" w:cs="Arial"/>
                <w:sz w:val="18"/>
                <w:szCs w:val="18"/>
              </w:rPr>
              <w:t xml:space="preserve"> Fondo de compensación</w:t>
            </w:r>
          </w:p>
        </w:tc>
        <w:tc>
          <w:tcPr>
            <w:tcW w:w="2138" w:type="dxa"/>
          </w:tcPr>
          <w:p w14:paraId="702BACA0" w14:textId="52D494CD" w:rsidR="00670D29" w:rsidRPr="00670D29" w:rsidRDefault="00670D29" w:rsidP="00670D29">
            <w:pPr>
              <w:jc w:val="right"/>
              <w:rPr>
                <w:rFonts w:ascii="Arial" w:hAnsi="Arial" w:cs="Arial"/>
                <w:noProof/>
                <w:sz w:val="18"/>
                <w:szCs w:val="18"/>
              </w:rPr>
            </w:pPr>
            <w:r w:rsidRPr="00670D29">
              <w:rPr>
                <w:rFonts w:ascii="Arial" w:hAnsi="Arial" w:cs="Arial"/>
                <w:sz w:val="18"/>
                <w:szCs w:val="18"/>
              </w:rPr>
              <w:t xml:space="preserve"> 33,609,721.50 </w:t>
            </w:r>
          </w:p>
        </w:tc>
      </w:tr>
      <w:tr w:rsidR="00670D29" w:rsidRPr="00670D29" w14:paraId="46D96E55" w14:textId="77777777" w:rsidTr="007C6888">
        <w:trPr>
          <w:trHeight w:val="227"/>
          <w:jc w:val="center"/>
        </w:trPr>
        <w:tc>
          <w:tcPr>
            <w:tcW w:w="8500" w:type="dxa"/>
          </w:tcPr>
          <w:p w14:paraId="2CCF19BC" w14:textId="70924913" w:rsidR="00670D29" w:rsidRPr="00670D29" w:rsidRDefault="00670D29" w:rsidP="00670D29">
            <w:pPr>
              <w:rPr>
                <w:rFonts w:ascii="Arial" w:hAnsi="Arial" w:cs="Arial"/>
                <w:sz w:val="18"/>
                <w:szCs w:val="18"/>
              </w:rPr>
            </w:pPr>
            <w:r w:rsidRPr="00670D29">
              <w:rPr>
                <w:rFonts w:ascii="Arial" w:hAnsi="Arial" w:cs="Arial"/>
                <w:sz w:val="18"/>
                <w:szCs w:val="18"/>
              </w:rPr>
              <w:t xml:space="preserve"> Incentivo para v</w:t>
            </w:r>
            <w:r>
              <w:rPr>
                <w:rFonts w:ascii="Arial" w:hAnsi="Arial" w:cs="Arial"/>
                <w:sz w:val="18"/>
                <w:szCs w:val="18"/>
              </w:rPr>
              <w:t>enta</w:t>
            </w:r>
            <w:r w:rsidRPr="00670D29">
              <w:rPr>
                <w:rFonts w:ascii="Arial" w:hAnsi="Arial" w:cs="Arial"/>
                <w:sz w:val="18"/>
                <w:szCs w:val="18"/>
              </w:rPr>
              <w:t xml:space="preserve"> final de gasolina y diésel</w:t>
            </w:r>
          </w:p>
        </w:tc>
        <w:tc>
          <w:tcPr>
            <w:tcW w:w="2138" w:type="dxa"/>
          </w:tcPr>
          <w:p w14:paraId="201AFFF0" w14:textId="405D6765" w:rsidR="00670D29" w:rsidRPr="00670D29" w:rsidRDefault="00670D29" w:rsidP="00670D29">
            <w:pPr>
              <w:jc w:val="right"/>
              <w:rPr>
                <w:rFonts w:ascii="Arial" w:hAnsi="Arial" w:cs="Arial"/>
                <w:noProof/>
                <w:sz w:val="18"/>
                <w:szCs w:val="18"/>
              </w:rPr>
            </w:pPr>
            <w:r w:rsidRPr="00670D29">
              <w:rPr>
                <w:rFonts w:ascii="Arial" w:hAnsi="Arial" w:cs="Arial"/>
                <w:sz w:val="18"/>
                <w:szCs w:val="18"/>
              </w:rPr>
              <w:t xml:space="preserve"> 17,596,045.00 </w:t>
            </w:r>
          </w:p>
        </w:tc>
      </w:tr>
      <w:tr w:rsidR="00670D29" w:rsidRPr="00670D29" w14:paraId="08B77515" w14:textId="77777777" w:rsidTr="007C6888">
        <w:trPr>
          <w:trHeight w:val="227"/>
          <w:jc w:val="center"/>
        </w:trPr>
        <w:tc>
          <w:tcPr>
            <w:tcW w:w="8500" w:type="dxa"/>
          </w:tcPr>
          <w:p w14:paraId="06975E76" w14:textId="68D95D1F" w:rsidR="00670D29" w:rsidRPr="00670D29" w:rsidRDefault="00670D29" w:rsidP="00670D29">
            <w:pPr>
              <w:rPr>
                <w:rFonts w:ascii="Arial" w:hAnsi="Arial" w:cs="Arial"/>
                <w:sz w:val="18"/>
                <w:szCs w:val="18"/>
              </w:rPr>
            </w:pPr>
            <w:r w:rsidRPr="00670D29">
              <w:rPr>
                <w:rFonts w:ascii="Arial" w:hAnsi="Arial" w:cs="Arial"/>
                <w:sz w:val="18"/>
                <w:szCs w:val="18"/>
              </w:rPr>
              <w:t xml:space="preserve"> Fondo de aportaciones para los servicios de salud (</w:t>
            </w:r>
            <w:proofErr w:type="spellStart"/>
            <w:r w:rsidRPr="00670D29">
              <w:rPr>
                <w:rFonts w:ascii="Arial" w:hAnsi="Arial" w:cs="Arial"/>
                <w:sz w:val="18"/>
                <w:szCs w:val="18"/>
              </w:rPr>
              <w:t>serv</w:t>
            </w:r>
            <w:proofErr w:type="spellEnd"/>
            <w:r w:rsidRPr="00670D29">
              <w:rPr>
                <w:rFonts w:ascii="Arial" w:hAnsi="Arial" w:cs="Arial"/>
                <w:sz w:val="18"/>
                <w:szCs w:val="18"/>
              </w:rPr>
              <w:t xml:space="preserve"> </w:t>
            </w:r>
            <w:proofErr w:type="spellStart"/>
            <w:r w:rsidRPr="00670D29">
              <w:rPr>
                <w:rFonts w:ascii="Arial" w:hAnsi="Arial" w:cs="Arial"/>
                <w:sz w:val="18"/>
                <w:szCs w:val="18"/>
              </w:rPr>
              <w:t>pers</w:t>
            </w:r>
            <w:proofErr w:type="spellEnd"/>
            <w:r w:rsidRPr="00670D29">
              <w:rPr>
                <w:rFonts w:ascii="Arial" w:hAnsi="Arial" w:cs="Arial"/>
                <w:sz w:val="18"/>
                <w:szCs w:val="18"/>
              </w:rPr>
              <w:t>)</w:t>
            </w:r>
          </w:p>
        </w:tc>
        <w:tc>
          <w:tcPr>
            <w:tcW w:w="2138" w:type="dxa"/>
          </w:tcPr>
          <w:p w14:paraId="780F9441" w14:textId="316D5E9F" w:rsidR="00670D29" w:rsidRPr="00670D29" w:rsidRDefault="00670D29" w:rsidP="00670D29">
            <w:pPr>
              <w:jc w:val="right"/>
              <w:rPr>
                <w:rFonts w:ascii="Arial" w:hAnsi="Arial" w:cs="Arial"/>
                <w:noProof/>
                <w:sz w:val="18"/>
                <w:szCs w:val="18"/>
              </w:rPr>
            </w:pPr>
            <w:r w:rsidRPr="00670D29">
              <w:rPr>
                <w:rFonts w:ascii="Arial" w:hAnsi="Arial" w:cs="Arial"/>
                <w:sz w:val="18"/>
                <w:szCs w:val="18"/>
              </w:rPr>
              <w:t>394,587,242.00</w:t>
            </w:r>
          </w:p>
        </w:tc>
      </w:tr>
      <w:tr w:rsidR="00670D29" w:rsidRPr="00670D29" w14:paraId="470F2840" w14:textId="77777777" w:rsidTr="007C6888">
        <w:trPr>
          <w:trHeight w:val="227"/>
          <w:jc w:val="center"/>
        </w:trPr>
        <w:tc>
          <w:tcPr>
            <w:tcW w:w="8500" w:type="dxa"/>
          </w:tcPr>
          <w:p w14:paraId="30BE1F61" w14:textId="0B4CBCA2" w:rsidR="00670D29" w:rsidRPr="00670D29" w:rsidRDefault="00670D29" w:rsidP="00670D29">
            <w:pPr>
              <w:rPr>
                <w:rFonts w:ascii="Arial" w:hAnsi="Arial" w:cs="Arial"/>
                <w:sz w:val="18"/>
                <w:szCs w:val="18"/>
              </w:rPr>
            </w:pPr>
            <w:r w:rsidRPr="00670D29">
              <w:rPr>
                <w:rFonts w:ascii="Arial" w:hAnsi="Arial" w:cs="Arial"/>
                <w:sz w:val="18"/>
                <w:szCs w:val="18"/>
              </w:rPr>
              <w:t xml:space="preserve"> Fondo de aportaciones para los servicios de salud (</w:t>
            </w:r>
            <w:proofErr w:type="spellStart"/>
            <w:r w:rsidRPr="00670D29">
              <w:rPr>
                <w:rFonts w:ascii="Arial" w:hAnsi="Arial" w:cs="Arial"/>
                <w:sz w:val="18"/>
                <w:szCs w:val="18"/>
              </w:rPr>
              <w:t>gto</w:t>
            </w:r>
            <w:proofErr w:type="spellEnd"/>
            <w:r w:rsidRPr="00670D29">
              <w:rPr>
                <w:rFonts w:ascii="Arial" w:hAnsi="Arial" w:cs="Arial"/>
                <w:sz w:val="18"/>
                <w:szCs w:val="18"/>
              </w:rPr>
              <w:t xml:space="preserve"> </w:t>
            </w:r>
            <w:proofErr w:type="spellStart"/>
            <w:r w:rsidRPr="00670D29">
              <w:rPr>
                <w:rFonts w:ascii="Arial" w:hAnsi="Arial" w:cs="Arial"/>
                <w:sz w:val="18"/>
                <w:szCs w:val="18"/>
              </w:rPr>
              <w:t>op</w:t>
            </w:r>
            <w:proofErr w:type="spellEnd"/>
            <w:r w:rsidRPr="00670D29">
              <w:rPr>
                <w:rFonts w:ascii="Arial" w:hAnsi="Arial" w:cs="Arial"/>
                <w:sz w:val="18"/>
                <w:szCs w:val="18"/>
              </w:rPr>
              <w:t>)</w:t>
            </w:r>
          </w:p>
        </w:tc>
        <w:tc>
          <w:tcPr>
            <w:tcW w:w="2138" w:type="dxa"/>
          </w:tcPr>
          <w:p w14:paraId="08C6A0B0" w14:textId="743CB0C1" w:rsidR="00670D29" w:rsidRPr="00670D29" w:rsidRDefault="00670D29" w:rsidP="00670D29">
            <w:pPr>
              <w:jc w:val="right"/>
              <w:rPr>
                <w:rFonts w:ascii="Arial" w:hAnsi="Arial" w:cs="Arial"/>
                <w:noProof/>
                <w:sz w:val="18"/>
                <w:szCs w:val="18"/>
              </w:rPr>
            </w:pPr>
            <w:r w:rsidRPr="00670D29">
              <w:rPr>
                <w:rFonts w:ascii="Arial" w:hAnsi="Arial" w:cs="Arial"/>
                <w:sz w:val="18"/>
                <w:szCs w:val="18"/>
              </w:rPr>
              <w:t xml:space="preserve"> 129,199,147.00 </w:t>
            </w:r>
          </w:p>
        </w:tc>
      </w:tr>
      <w:tr w:rsidR="00670D29" w:rsidRPr="00670D29" w14:paraId="4E5C015D" w14:textId="77777777" w:rsidTr="007C6888">
        <w:trPr>
          <w:trHeight w:val="227"/>
          <w:jc w:val="center"/>
        </w:trPr>
        <w:tc>
          <w:tcPr>
            <w:tcW w:w="8500" w:type="dxa"/>
          </w:tcPr>
          <w:p w14:paraId="747E39D4" w14:textId="1F8ABAD8" w:rsidR="00670D29" w:rsidRPr="00670D29" w:rsidRDefault="00670D29" w:rsidP="00670D29">
            <w:pPr>
              <w:tabs>
                <w:tab w:val="left" w:pos="7309"/>
              </w:tabs>
              <w:rPr>
                <w:rFonts w:ascii="Arial" w:hAnsi="Arial" w:cs="Arial"/>
                <w:sz w:val="18"/>
                <w:szCs w:val="18"/>
              </w:rPr>
            </w:pPr>
            <w:r w:rsidRPr="00670D29">
              <w:rPr>
                <w:rFonts w:ascii="Arial" w:hAnsi="Arial" w:cs="Arial"/>
                <w:sz w:val="18"/>
                <w:szCs w:val="18"/>
              </w:rPr>
              <w:t xml:space="preserve"> INSABI prestación gratuita </w:t>
            </w:r>
            <w:proofErr w:type="spellStart"/>
            <w:r w:rsidRPr="00670D29">
              <w:rPr>
                <w:rFonts w:ascii="Arial" w:hAnsi="Arial" w:cs="Arial"/>
                <w:sz w:val="18"/>
                <w:szCs w:val="18"/>
              </w:rPr>
              <w:t>serv</w:t>
            </w:r>
            <w:proofErr w:type="spellEnd"/>
            <w:r w:rsidRPr="00670D29">
              <w:rPr>
                <w:rFonts w:ascii="Arial" w:hAnsi="Arial" w:cs="Arial"/>
                <w:sz w:val="18"/>
                <w:szCs w:val="18"/>
              </w:rPr>
              <w:t xml:space="preserve"> salud y demás insumos (</w:t>
            </w:r>
            <w:proofErr w:type="spellStart"/>
            <w:r w:rsidRPr="00670D29">
              <w:rPr>
                <w:rFonts w:ascii="Arial" w:hAnsi="Arial" w:cs="Arial"/>
                <w:sz w:val="18"/>
                <w:szCs w:val="18"/>
              </w:rPr>
              <w:t>serv</w:t>
            </w:r>
            <w:proofErr w:type="spellEnd"/>
            <w:r w:rsidRPr="00670D29">
              <w:rPr>
                <w:rFonts w:ascii="Arial" w:hAnsi="Arial" w:cs="Arial"/>
                <w:sz w:val="18"/>
                <w:szCs w:val="18"/>
              </w:rPr>
              <w:t xml:space="preserve"> </w:t>
            </w:r>
            <w:proofErr w:type="spellStart"/>
            <w:r w:rsidRPr="00670D29">
              <w:rPr>
                <w:rFonts w:ascii="Arial" w:hAnsi="Arial" w:cs="Arial"/>
                <w:sz w:val="18"/>
                <w:szCs w:val="18"/>
              </w:rPr>
              <w:t>pers</w:t>
            </w:r>
            <w:proofErr w:type="spellEnd"/>
            <w:r w:rsidRPr="00670D29">
              <w:rPr>
                <w:rFonts w:ascii="Arial" w:hAnsi="Arial" w:cs="Arial"/>
                <w:sz w:val="18"/>
                <w:szCs w:val="18"/>
              </w:rPr>
              <w:t>)</w:t>
            </w:r>
          </w:p>
        </w:tc>
        <w:tc>
          <w:tcPr>
            <w:tcW w:w="2138" w:type="dxa"/>
          </w:tcPr>
          <w:p w14:paraId="297D7E1E" w14:textId="5755D964" w:rsidR="00670D29" w:rsidRPr="00670D29" w:rsidRDefault="00670D29" w:rsidP="00670D29">
            <w:pPr>
              <w:jc w:val="right"/>
              <w:rPr>
                <w:rFonts w:ascii="Arial" w:hAnsi="Arial" w:cs="Arial"/>
                <w:noProof/>
                <w:sz w:val="18"/>
                <w:szCs w:val="18"/>
              </w:rPr>
            </w:pPr>
            <w:r w:rsidRPr="00670D29">
              <w:rPr>
                <w:rFonts w:ascii="Arial" w:hAnsi="Arial" w:cs="Arial"/>
                <w:sz w:val="18"/>
                <w:szCs w:val="18"/>
              </w:rPr>
              <w:t xml:space="preserve"> 125,000,000.00 </w:t>
            </w:r>
          </w:p>
        </w:tc>
      </w:tr>
      <w:tr w:rsidR="00670D29" w:rsidRPr="00670D29" w14:paraId="643747B1" w14:textId="77777777" w:rsidTr="007C6888">
        <w:trPr>
          <w:trHeight w:val="227"/>
          <w:jc w:val="center"/>
        </w:trPr>
        <w:tc>
          <w:tcPr>
            <w:tcW w:w="8500" w:type="dxa"/>
          </w:tcPr>
          <w:p w14:paraId="2BE2E69B" w14:textId="21AD3D12" w:rsidR="00670D29" w:rsidRPr="00670D29" w:rsidRDefault="00670D29" w:rsidP="00670D29">
            <w:pPr>
              <w:tabs>
                <w:tab w:val="left" w:pos="7309"/>
              </w:tabs>
              <w:rPr>
                <w:rFonts w:ascii="Arial" w:hAnsi="Arial" w:cs="Arial"/>
                <w:sz w:val="18"/>
                <w:szCs w:val="18"/>
              </w:rPr>
            </w:pPr>
            <w:r w:rsidRPr="00670D29">
              <w:rPr>
                <w:rFonts w:ascii="Arial" w:hAnsi="Arial" w:cs="Arial"/>
                <w:sz w:val="18"/>
                <w:szCs w:val="18"/>
              </w:rPr>
              <w:t xml:space="preserve"> </w:t>
            </w:r>
            <w:proofErr w:type="spellStart"/>
            <w:r w:rsidRPr="00670D29">
              <w:rPr>
                <w:rFonts w:ascii="Arial" w:hAnsi="Arial" w:cs="Arial"/>
                <w:sz w:val="18"/>
                <w:szCs w:val="18"/>
              </w:rPr>
              <w:t>Atn</w:t>
            </w:r>
            <w:proofErr w:type="spellEnd"/>
            <w:r w:rsidRPr="00670D29">
              <w:rPr>
                <w:rFonts w:ascii="Arial" w:hAnsi="Arial" w:cs="Arial"/>
                <w:sz w:val="18"/>
                <w:szCs w:val="18"/>
              </w:rPr>
              <w:t xml:space="preserve"> salud y </w:t>
            </w:r>
            <w:proofErr w:type="spellStart"/>
            <w:r w:rsidRPr="00670D29">
              <w:rPr>
                <w:rFonts w:ascii="Arial" w:hAnsi="Arial" w:cs="Arial"/>
                <w:sz w:val="18"/>
                <w:szCs w:val="18"/>
              </w:rPr>
              <w:t>med</w:t>
            </w:r>
            <w:proofErr w:type="spellEnd"/>
            <w:r w:rsidRPr="00670D29">
              <w:rPr>
                <w:rFonts w:ascii="Arial" w:hAnsi="Arial" w:cs="Arial"/>
                <w:sz w:val="18"/>
                <w:szCs w:val="18"/>
              </w:rPr>
              <w:t xml:space="preserve"> gratuitos p/ población sin </w:t>
            </w:r>
            <w:proofErr w:type="spellStart"/>
            <w:r w:rsidRPr="00670D29">
              <w:rPr>
                <w:rFonts w:ascii="Arial" w:hAnsi="Arial" w:cs="Arial"/>
                <w:sz w:val="18"/>
                <w:szCs w:val="18"/>
              </w:rPr>
              <w:t>seg</w:t>
            </w:r>
            <w:proofErr w:type="spellEnd"/>
            <w:r w:rsidRPr="00670D29">
              <w:rPr>
                <w:rFonts w:ascii="Arial" w:hAnsi="Arial" w:cs="Arial"/>
                <w:sz w:val="18"/>
                <w:szCs w:val="18"/>
              </w:rPr>
              <w:t xml:space="preserve"> social </w:t>
            </w:r>
            <w:proofErr w:type="spellStart"/>
            <w:r w:rsidRPr="00670D29">
              <w:rPr>
                <w:rFonts w:ascii="Arial" w:hAnsi="Arial" w:cs="Arial"/>
                <w:sz w:val="18"/>
                <w:szCs w:val="18"/>
              </w:rPr>
              <w:t>lab</w:t>
            </w:r>
            <w:proofErr w:type="spellEnd"/>
            <w:r w:rsidRPr="00670D29">
              <w:rPr>
                <w:rFonts w:ascii="Arial" w:hAnsi="Arial" w:cs="Arial"/>
                <w:sz w:val="18"/>
                <w:szCs w:val="18"/>
              </w:rPr>
              <w:t xml:space="preserve"> (u013)</w:t>
            </w:r>
          </w:p>
        </w:tc>
        <w:tc>
          <w:tcPr>
            <w:tcW w:w="2138" w:type="dxa"/>
          </w:tcPr>
          <w:p w14:paraId="3AB59C3B" w14:textId="2785D2D0" w:rsidR="00670D29" w:rsidRPr="00670D29" w:rsidRDefault="00670D29" w:rsidP="00670D29">
            <w:pPr>
              <w:jc w:val="right"/>
              <w:rPr>
                <w:rFonts w:ascii="Arial" w:hAnsi="Arial" w:cs="Arial"/>
                <w:noProof/>
                <w:sz w:val="18"/>
                <w:szCs w:val="18"/>
              </w:rPr>
            </w:pPr>
            <w:r>
              <w:rPr>
                <w:rFonts w:ascii="Arial" w:hAnsi="Arial" w:cs="Arial"/>
                <w:noProof/>
                <w:sz w:val="18"/>
                <w:szCs w:val="18"/>
              </w:rPr>
              <w:t>0.00</w:t>
            </w:r>
          </w:p>
        </w:tc>
      </w:tr>
      <w:tr w:rsidR="00670D29" w:rsidRPr="00670D29" w14:paraId="620EF969" w14:textId="77777777" w:rsidTr="007C6888">
        <w:trPr>
          <w:trHeight w:val="227"/>
          <w:jc w:val="center"/>
        </w:trPr>
        <w:tc>
          <w:tcPr>
            <w:tcW w:w="8500" w:type="dxa"/>
          </w:tcPr>
          <w:p w14:paraId="620EF966" w14:textId="215AD0D2" w:rsidR="00670D29" w:rsidRPr="00670D29" w:rsidRDefault="00670D29" w:rsidP="00670D29">
            <w:pPr>
              <w:rPr>
                <w:rFonts w:ascii="Arial" w:hAnsi="Arial" w:cs="Arial"/>
                <w:sz w:val="18"/>
                <w:szCs w:val="18"/>
              </w:rPr>
            </w:pPr>
            <w:r w:rsidRPr="00670D29">
              <w:rPr>
                <w:rFonts w:ascii="Arial" w:hAnsi="Arial" w:cs="Arial"/>
                <w:sz w:val="18"/>
                <w:szCs w:val="18"/>
              </w:rPr>
              <w:t xml:space="preserve"> FPGC </w:t>
            </w:r>
            <w:proofErr w:type="spellStart"/>
            <w:r w:rsidRPr="00670D29">
              <w:rPr>
                <w:rFonts w:ascii="Arial" w:hAnsi="Arial" w:cs="Arial"/>
                <w:sz w:val="18"/>
                <w:szCs w:val="18"/>
              </w:rPr>
              <w:t>sustit</w:t>
            </w:r>
            <w:proofErr w:type="spellEnd"/>
            <w:r w:rsidRPr="00670D29">
              <w:rPr>
                <w:rFonts w:ascii="Arial" w:hAnsi="Arial" w:cs="Arial"/>
                <w:sz w:val="18"/>
                <w:szCs w:val="18"/>
              </w:rPr>
              <w:t xml:space="preserve"> obra </w:t>
            </w:r>
            <w:proofErr w:type="spellStart"/>
            <w:r w:rsidRPr="00670D29">
              <w:rPr>
                <w:rFonts w:ascii="Arial" w:hAnsi="Arial" w:cs="Arial"/>
                <w:sz w:val="18"/>
                <w:szCs w:val="18"/>
              </w:rPr>
              <w:t>hosp</w:t>
            </w:r>
            <w:proofErr w:type="spellEnd"/>
            <w:r w:rsidRPr="00670D29">
              <w:rPr>
                <w:rFonts w:ascii="Arial" w:hAnsi="Arial" w:cs="Arial"/>
                <w:sz w:val="18"/>
                <w:szCs w:val="18"/>
              </w:rPr>
              <w:t xml:space="preserve"> </w:t>
            </w:r>
            <w:proofErr w:type="spellStart"/>
            <w:r w:rsidRPr="00670D29">
              <w:rPr>
                <w:rFonts w:ascii="Arial" w:hAnsi="Arial" w:cs="Arial"/>
                <w:sz w:val="18"/>
                <w:szCs w:val="18"/>
              </w:rPr>
              <w:t>gral</w:t>
            </w:r>
            <w:proofErr w:type="spellEnd"/>
            <w:r w:rsidRPr="00670D29">
              <w:rPr>
                <w:rFonts w:ascii="Arial" w:hAnsi="Arial" w:cs="Arial"/>
                <w:sz w:val="18"/>
                <w:szCs w:val="18"/>
              </w:rPr>
              <w:t xml:space="preserve"> de </w:t>
            </w:r>
            <w:proofErr w:type="spellStart"/>
            <w:r w:rsidRPr="00670D29">
              <w:rPr>
                <w:rFonts w:ascii="Arial" w:hAnsi="Arial" w:cs="Arial"/>
                <w:sz w:val="18"/>
                <w:szCs w:val="18"/>
              </w:rPr>
              <w:t>Tlax</w:t>
            </w:r>
            <w:proofErr w:type="spellEnd"/>
          </w:p>
        </w:tc>
        <w:tc>
          <w:tcPr>
            <w:tcW w:w="2138" w:type="dxa"/>
          </w:tcPr>
          <w:p w14:paraId="620EF967" w14:textId="749B33BC" w:rsidR="00670D29" w:rsidRPr="00670D29" w:rsidRDefault="00670D29" w:rsidP="00670D29">
            <w:pPr>
              <w:jc w:val="right"/>
              <w:rPr>
                <w:rFonts w:ascii="Arial" w:hAnsi="Arial" w:cs="Arial"/>
                <w:noProof/>
                <w:sz w:val="18"/>
                <w:szCs w:val="18"/>
              </w:rPr>
            </w:pPr>
            <w:r w:rsidRPr="00670D29">
              <w:rPr>
                <w:rFonts w:ascii="Arial" w:hAnsi="Arial" w:cs="Arial"/>
                <w:sz w:val="18"/>
                <w:szCs w:val="18"/>
              </w:rPr>
              <w:t xml:space="preserve"> 28,086,283.07 </w:t>
            </w:r>
          </w:p>
        </w:tc>
      </w:tr>
      <w:tr w:rsidR="00670D29" w:rsidRPr="00670D29" w14:paraId="3F3ABB12" w14:textId="77777777" w:rsidTr="007C6888">
        <w:tblPrEx>
          <w:jc w:val="left"/>
        </w:tblPrEx>
        <w:trPr>
          <w:trHeight w:val="169"/>
        </w:trPr>
        <w:tc>
          <w:tcPr>
            <w:tcW w:w="8500" w:type="dxa"/>
          </w:tcPr>
          <w:p w14:paraId="07D91473" w14:textId="74BA1CC5" w:rsidR="00670D29" w:rsidRPr="00670D29" w:rsidRDefault="00670D29" w:rsidP="00670D29">
            <w:pPr>
              <w:rPr>
                <w:rFonts w:ascii="Arial" w:hAnsi="Arial" w:cs="Arial"/>
                <w:sz w:val="18"/>
                <w:szCs w:val="18"/>
              </w:rPr>
            </w:pPr>
            <w:r w:rsidRPr="00670D29">
              <w:rPr>
                <w:rFonts w:ascii="Arial" w:hAnsi="Arial" w:cs="Arial"/>
                <w:sz w:val="18"/>
                <w:szCs w:val="18"/>
              </w:rPr>
              <w:t xml:space="preserve"> Aportación liquida estatal 2020 (gasto </w:t>
            </w:r>
            <w:proofErr w:type="spellStart"/>
            <w:r w:rsidRPr="00670D29">
              <w:rPr>
                <w:rFonts w:ascii="Arial" w:hAnsi="Arial" w:cs="Arial"/>
                <w:sz w:val="18"/>
                <w:szCs w:val="18"/>
              </w:rPr>
              <w:t>oper</w:t>
            </w:r>
            <w:proofErr w:type="spellEnd"/>
            <w:r w:rsidRPr="00670D29">
              <w:rPr>
                <w:rFonts w:ascii="Arial" w:hAnsi="Arial" w:cs="Arial"/>
                <w:sz w:val="18"/>
                <w:szCs w:val="18"/>
              </w:rPr>
              <w:t>)</w:t>
            </w:r>
          </w:p>
        </w:tc>
        <w:tc>
          <w:tcPr>
            <w:tcW w:w="2138" w:type="dxa"/>
          </w:tcPr>
          <w:p w14:paraId="2DF2307B" w14:textId="359875AD" w:rsidR="00670D29" w:rsidRPr="00670D29" w:rsidRDefault="00670D29" w:rsidP="00670D29">
            <w:pPr>
              <w:jc w:val="right"/>
              <w:rPr>
                <w:rFonts w:ascii="Arial" w:hAnsi="Arial" w:cs="Arial"/>
                <w:noProof/>
                <w:sz w:val="18"/>
                <w:szCs w:val="18"/>
              </w:rPr>
            </w:pPr>
            <w:r w:rsidRPr="00670D29">
              <w:rPr>
                <w:rFonts w:ascii="Arial" w:hAnsi="Arial" w:cs="Arial"/>
                <w:noProof/>
                <w:sz w:val="18"/>
                <w:szCs w:val="18"/>
              </w:rPr>
              <w:t>692,273.51</w:t>
            </w:r>
          </w:p>
        </w:tc>
      </w:tr>
      <w:tr w:rsidR="00670D29" w:rsidRPr="00670D29" w14:paraId="41102D1D" w14:textId="77777777" w:rsidTr="007C6888">
        <w:tblPrEx>
          <w:jc w:val="left"/>
        </w:tblPrEx>
        <w:trPr>
          <w:trHeight w:val="230"/>
        </w:trPr>
        <w:tc>
          <w:tcPr>
            <w:tcW w:w="8500" w:type="dxa"/>
          </w:tcPr>
          <w:p w14:paraId="4B2779F4" w14:textId="36C28B5F" w:rsidR="00670D29" w:rsidRPr="00670D29" w:rsidRDefault="00670D29" w:rsidP="00670D29">
            <w:pPr>
              <w:rPr>
                <w:rFonts w:ascii="Arial" w:hAnsi="Arial" w:cs="Arial"/>
                <w:sz w:val="18"/>
                <w:szCs w:val="18"/>
              </w:rPr>
            </w:pPr>
            <w:r w:rsidRPr="00670D29">
              <w:rPr>
                <w:rFonts w:ascii="Arial" w:hAnsi="Arial" w:cs="Arial"/>
                <w:sz w:val="18"/>
                <w:szCs w:val="18"/>
              </w:rPr>
              <w:t xml:space="preserve"> Prevención y tratamiento de las adicciones 2021</w:t>
            </w:r>
          </w:p>
        </w:tc>
        <w:tc>
          <w:tcPr>
            <w:tcW w:w="2138" w:type="dxa"/>
          </w:tcPr>
          <w:p w14:paraId="447E6C5E" w14:textId="011C9947" w:rsidR="00670D29" w:rsidRPr="00670D29" w:rsidRDefault="00670D29" w:rsidP="00670D29">
            <w:pPr>
              <w:jc w:val="right"/>
              <w:rPr>
                <w:rFonts w:ascii="Arial" w:hAnsi="Arial" w:cs="Arial"/>
                <w:noProof/>
                <w:sz w:val="18"/>
                <w:szCs w:val="18"/>
              </w:rPr>
            </w:pPr>
            <w:r w:rsidRPr="00670D29">
              <w:rPr>
                <w:rFonts w:ascii="Arial" w:hAnsi="Arial" w:cs="Arial"/>
                <w:sz w:val="18"/>
                <w:szCs w:val="18"/>
              </w:rPr>
              <w:t xml:space="preserve"> 2,911,355.00 </w:t>
            </w:r>
          </w:p>
        </w:tc>
      </w:tr>
      <w:tr w:rsidR="00670D29" w:rsidRPr="00670D29" w14:paraId="0CDB7296" w14:textId="77777777" w:rsidTr="00670D29">
        <w:tblPrEx>
          <w:jc w:val="left"/>
        </w:tblPrEx>
        <w:trPr>
          <w:trHeight w:val="133"/>
        </w:trPr>
        <w:tc>
          <w:tcPr>
            <w:tcW w:w="8500" w:type="dxa"/>
          </w:tcPr>
          <w:p w14:paraId="249F78A5" w14:textId="4B57691A" w:rsidR="00670D29" w:rsidRPr="00670D29" w:rsidRDefault="00670D29" w:rsidP="00670D29">
            <w:pPr>
              <w:rPr>
                <w:rFonts w:ascii="Arial" w:hAnsi="Arial" w:cs="Arial"/>
                <w:sz w:val="18"/>
                <w:szCs w:val="18"/>
              </w:rPr>
            </w:pPr>
            <w:r w:rsidRPr="00670D29">
              <w:rPr>
                <w:rFonts w:ascii="Arial" w:hAnsi="Arial" w:cs="Arial"/>
                <w:sz w:val="18"/>
                <w:szCs w:val="18"/>
              </w:rPr>
              <w:t xml:space="preserve"> INSABI </w:t>
            </w:r>
            <w:proofErr w:type="spellStart"/>
            <w:r w:rsidRPr="00670D29">
              <w:rPr>
                <w:rFonts w:ascii="Arial" w:hAnsi="Arial" w:cs="Arial"/>
                <w:sz w:val="18"/>
                <w:szCs w:val="18"/>
              </w:rPr>
              <w:t>prestacion</w:t>
            </w:r>
            <w:proofErr w:type="spellEnd"/>
            <w:r w:rsidRPr="00670D29">
              <w:rPr>
                <w:rFonts w:ascii="Arial" w:hAnsi="Arial" w:cs="Arial"/>
                <w:sz w:val="18"/>
                <w:szCs w:val="18"/>
              </w:rPr>
              <w:t xml:space="preserve"> gratuita </w:t>
            </w:r>
            <w:proofErr w:type="spellStart"/>
            <w:r w:rsidRPr="00670D29">
              <w:rPr>
                <w:rFonts w:ascii="Arial" w:hAnsi="Arial" w:cs="Arial"/>
                <w:sz w:val="18"/>
                <w:szCs w:val="18"/>
              </w:rPr>
              <w:t>serv</w:t>
            </w:r>
            <w:proofErr w:type="spellEnd"/>
            <w:r w:rsidRPr="00670D29">
              <w:rPr>
                <w:rFonts w:ascii="Arial" w:hAnsi="Arial" w:cs="Arial"/>
                <w:sz w:val="18"/>
                <w:szCs w:val="18"/>
              </w:rPr>
              <w:t xml:space="preserve"> </w:t>
            </w:r>
            <w:proofErr w:type="spellStart"/>
            <w:r w:rsidRPr="00670D29">
              <w:rPr>
                <w:rFonts w:ascii="Arial" w:hAnsi="Arial" w:cs="Arial"/>
                <w:sz w:val="18"/>
                <w:szCs w:val="18"/>
              </w:rPr>
              <w:t>salu</w:t>
            </w:r>
            <w:proofErr w:type="spellEnd"/>
            <w:r w:rsidRPr="00670D29">
              <w:rPr>
                <w:rFonts w:ascii="Arial" w:hAnsi="Arial" w:cs="Arial"/>
                <w:sz w:val="18"/>
                <w:szCs w:val="18"/>
              </w:rPr>
              <w:t xml:space="preserve"> y </w:t>
            </w:r>
            <w:proofErr w:type="spellStart"/>
            <w:r w:rsidRPr="00670D29">
              <w:rPr>
                <w:rFonts w:ascii="Arial" w:hAnsi="Arial" w:cs="Arial"/>
                <w:sz w:val="18"/>
                <w:szCs w:val="18"/>
              </w:rPr>
              <w:t>demas</w:t>
            </w:r>
            <w:proofErr w:type="spellEnd"/>
            <w:r w:rsidRPr="00670D29">
              <w:rPr>
                <w:rFonts w:ascii="Arial" w:hAnsi="Arial" w:cs="Arial"/>
                <w:sz w:val="18"/>
                <w:szCs w:val="18"/>
              </w:rPr>
              <w:t xml:space="preserve"> insumos (</w:t>
            </w:r>
            <w:proofErr w:type="spellStart"/>
            <w:r w:rsidRPr="00670D29">
              <w:rPr>
                <w:rFonts w:ascii="Arial" w:hAnsi="Arial" w:cs="Arial"/>
                <w:sz w:val="18"/>
                <w:szCs w:val="18"/>
              </w:rPr>
              <w:t>gto</w:t>
            </w:r>
            <w:proofErr w:type="spellEnd"/>
            <w:r w:rsidRPr="00670D29">
              <w:rPr>
                <w:rFonts w:ascii="Arial" w:hAnsi="Arial" w:cs="Arial"/>
                <w:sz w:val="18"/>
                <w:szCs w:val="18"/>
              </w:rPr>
              <w:t xml:space="preserve"> </w:t>
            </w:r>
            <w:proofErr w:type="spellStart"/>
            <w:r w:rsidRPr="00670D29">
              <w:rPr>
                <w:rFonts w:ascii="Arial" w:hAnsi="Arial" w:cs="Arial"/>
                <w:sz w:val="18"/>
                <w:szCs w:val="18"/>
              </w:rPr>
              <w:t>op</w:t>
            </w:r>
            <w:proofErr w:type="spellEnd"/>
            <w:r w:rsidRPr="00670D29">
              <w:rPr>
                <w:rFonts w:ascii="Arial" w:hAnsi="Arial" w:cs="Arial"/>
                <w:sz w:val="18"/>
                <w:szCs w:val="18"/>
              </w:rPr>
              <w:t>)</w:t>
            </w:r>
          </w:p>
        </w:tc>
        <w:tc>
          <w:tcPr>
            <w:tcW w:w="2138" w:type="dxa"/>
            <w:vAlign w:val="bottom"/>
          </w:tcPr>
          <w:p w14:paraId="14E413E2" w14:textId="29BE931B" w:rsidR="00670D29" w:rsidRPr="00670D29" w:rsidRDefault="00670D29" w:rsidP="00670D29">
            <w:pPr>
              <w:jc w:val="right"/>
              <w:rPr>
                <w:rFonts w:ascii="Arial" w:hAnsi="Arial" w:cs="Arial"/>
                <w:noProof/>
                <w:sz w:val="18"/>
                <w:szCs w:val="18"/>
              </w:rPr>
            </w:pPr>
            <w:r w:rsidRPr="00670D29">
              <w:rPr>
                <w:rFonts w:ascii="Arial" w:hAnsi="Arial" w:cs="Arial"/>
                <w:noProof/>
                <w:sz w:val="18"/>
                <w:szCs w:val="18"/>
              </w:rPr>
              <w:t>59,787,099.68</w:t>
            </w:r>
          </w:p>
        </w:tc>
      </w:tr>
      <w:tr w:rsidR="00863EC2" w:rsidRPr="00670D29" w14:paraId="620EF989" w14:textId="77777777" w:rsidTr="00B803CE">
        <w:trPr>
          <w:trHeight w:val="240"/>
          <w:jc w:val="center"/>
        </w:trPr>
        <w:tc>
          <w:tcPr>
            <w:tcW w:w="8500" w:type="dxa"/>
            <w:hideMark/>
          </w:tcPr>
          <w:p w14:paraId="620EF986" w14:textId="27B15C27" w:rsidR="00863EC2" w:rsidRPr="00670D29" w:rsidRDefault="00323DA4" w:rsidP="002972AA">
            <w:pPr>
              <w:rPr>
                <w:rFonts w:ascii="Arial" w:eastAsia="Times New Roman" w:hAnsi="Arial" w:cs="Arial"/>
                <w:b/>
                <w:sz w:val="18"/>
                <w:szCs w:val="18"/>
                <w:lang w:val="es-ES" w:eastAsia="es-ES"/>
              </w:rPr>
            </w:pPr>
            <w:r w:rsidRPr="00670D29">
              <w:rPr>
                <w:rFonts w:ascii="Arial" w:hAnsi="Arial" w:cs="Arial"/>
                <w:b/>
                <w:sz w:val="18"/>
                <w:szCs w:val="18"/>
              </w:rPr>
              <w:t>Suma</w:t>
            </w:r>
          </w:p>
        </w:tc>
        <w:tc>
          <w:tcPr>
            <w:tcW w:w="2138" w:type="dxa"/>
          </w:tcPr>
          <w:p w14:paraId="620EF987" w14:textId="1B263329" w:rsidR="00863EC2" w:rsidRPr="00670D29" w:rsidRDefault="00670D29" w:rsidP="00AD6257">
            <w:pPr>
              <w:jc w:val="right"/>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=SUM(ABOVE) </w:instrText>
            </w:r>
            <w:r>
              <w:rPr>
                <w:rFonts w:ascii="Arial" w:hAnsi="Arial" w:cs="Arial"/>
                <w:b/>
                <w:sz w:val="18"/>
                <w:szCs w:val="18"/>
              </w:rPr>
              <w:fldChar w:fldCharType="separate"/>
            </w:r>
            <w:r>
              <w:rPr>
                <w:rFonts w:ascii="Arial" w:hAnsi="Arial" w:cs="Arial"/>
                <w:b/>
                <w:noProof/>
                <w:sz w:val="18"/>
                <w:szCs w:val="18"/>
              </w:rPr>
              <w:t>924,321,178.26</w:t>
            </w:r>
            <w:r>
              <w:rPr>
                <w:rFonts w:ascii="Arial" w:hAnsi="Arial" w:cs="Arial"/>
                <w:b/>
                <w:sz w:val="18"/>
                <w:szCs w:val="18"/>
              </w:rPr>
              <w:fldChar w:fldCharType="end"/>
            </w:r>
          </w:p>
        </w:tc>
      </w:tr>
    </w:tbl>
    <w:p w14:paraId="3227E57D" w14:textId="14098BC1" w:rsidR="00420E80" w:rsidRDefault="00420E80" w:rsidP="00AC7F8A">
      <w:pPr>
        <w:pStyle w:val="ROMANOS"/>
        <w:spacing w:after="0" w:line="240" w:lineRule="exact"/>
        <w:rPr>
          <w:lang w:val="es-MX"/>
        </w:rPr>
      </w:pPr>
    </w:p>
    <w:p w14:paraId="4EB6F089" w14:textId="77777777" w:rsidR="00670D29" w:rsidRDefault="00670D29" w:rsidP="00AC7F8A">
      <w:pPr>
        <w:pStyle w:val="ROMANOS"/>
        <w:spacing w:after="0" w:line="240" w:lineRule="exact"/>
        <w:rPr>
          <w:lang w:val="es-MX"/>
        </w:rPr>
      </w:pPr>
    </w:p>
    <w:p w14:paraId="17835E79" w14:textId="77777777" w:rsidR="00670D29" w:rsidRDefault="00670D29" w:rsidP="00AC7F8A">
      <w:pPr>
        <w:pStyle w:val="ROMANOS"/>
        <w:spacing w:after="0" w:line="240" w:lineRule="exact"/>
        <w:rPr>
          <w:lang w:val="es-MX"/>
        </w:rPr>
      </w:pPr>
    </w:p>
    <w:p w14:paraId="4D433930" w14:textId="2CD9B0F8" w:rsidR="00467D58" w:rsidRDefault="00467D58" w:rsidP="00AC7F8A">
      <w:pPr>
        <w:pStyle w:val="ROMANOS"/>
        <w:spacing w:after="0" w:line="240" w:lineRule="exact"/>
        <w:rPr>
          <w:lang w:val="es-MX"/>
        </w:rPr>
      </w:pPr>
      <w:r>
        <w:rPr>
          <w:b/>
          <w:bCs/>
        </w:rPr>
        <w:t>Otros Ingresos y Beneficios</w:t>
      </w:r>
    </w:p>
    <w:p w14:paraId="3E6AE39E" w14:textId="77777777" w:rsidR="00467D58" w:rsidRPr="009A5967" w:rsidRDefault="00467D58" w:rsidP="00AC7F8A">
      <w:pPr>
        <w:pStyle w:val="ROMANOS"/>
        <w:spacing w:after="0" w:line="240" w:lineRule="exact"/>
        <w:rPr>
          <w:lang w:val="es-MX"/>
        </w:rPr>
      </w:pPr>
    </w:p>
    <w:p w14:paraId="4A393219" w14:textId="3E7A2EE4" w:rsidR="00507531" w:rsidRDefault="00A75C91" w:rsidP="004F10D5">
      <w:pPr>
        <w:pStyle w:val="ROMANOS"/>
        <w:tabs>
          <w:tab w:val="clear" w:pos="720"/>
          <w:tab w:val="left" w:pos="288"/>
        </w:tabs>
        <w:spacing w:after="0" w:line="240" w:lineRule="exact"/>
        <w:ind w:left="284" w:firstLine="4"/>
        <w:rPr>
          <w:lang w:val="es-MX"/>
        </w:rPr>
      </w:pPr>
      <w:r>
        <w:rPr>
          <w:lang w:val="es-MX"/>
        </w:rPr>
        <w:t>En</w:t>
      </w:r>
      <w:r w:rsidR="00AC7F8A" w:rsidRPr="009A5967">
        <w:rPr>
          <w:lang w:val="es-MX"/>
        </w:rPr>
        <w:t xml:space="preserve"> el ejercicio 20</w:t>
      </w:r>
      <w:r w:rsidR="00467D58">
        <w:rPr>
          <w:lang w:val="es-MX"/>
        </w:rPr>
        <w:t>2</w:t>
      </w:r>
      <w:r w:rsidR="00670D29">
        <w:rPr>
          <w:lang w:val="es-MX"/>
        </w:rPr>
        <w:t>1</w:t>
      </w:r>
      <w:r w:rsidR="00AC7F8A" w:rsidRPr="009A5967">
        <w:rPr>
          <w:lang w:val="es-MX"/>
        </w:rPr>
        <w:t xml:space="preserve"> la </w:t>
      </w:r>
      <w:r w:rsidR="00AC7F8A" w:rsidRPr="009A5967">
        <w:t>Secretaría de Salud y O.P.D. Salud de Tlaxcala</w:t>
      </w:r>
      <w:r w:rsidR="00387376">
        <w:t>,</w:t>
      </w:r>
      <w:r w:rsidR="00AC7F8A" w:rsidRPr="009A5967">
        <w:rPr>
          <w:lang w:val="es-MX"/>
        </w:rPr>
        <w:t xml:space="preserve"> </w:t>
      </w:r>
      <w:r w:rsidR="00670D29">
        <w:rPr>
          <w:lang w:val="es-MX"/>
        </w:rPr>
        <w:t xml:space="preserve">no </w:t>
      </w:r>
      <w:r w:rsidR="00467D58">
        <w:rPr>
          <w:lang w:val="es-MX"/>
        </w:rPr>
        <w:t xml:space="preserve">ha </w:t>
      </w:r>
      <w:r w:rsidR="00AC7F8A" w:rsidRPr="009A5967">
        <w:rPr>
          <w:lang w:val="es-MX"/>
        </w:rPr>
        <w:t>obt</w:t>
      </w:r>
      <w:r w:rsidR="00467D58">
        <w:rPr>
          <w:lang w:val="es-MX"/>
        </w:rPr>
        <w:t>enido</w:t>
      </w:r>
      <w:r w:rsidR="00AD6257">
        <w:rPr>
          <w:lang w:val="es-MX"/>
        </w:rPr>
        <w:t xml:space="preserve"> otros ingresos</w:t>
      </w:r>
      <w:r w:rsidR="00507531">
        <w:rPr>
          <w:lang w:val="es-MX"/>
        </w:rPr>
        <w:t>.</w:t>
      </w:r>
    </w:p>
    <w:p w14:paraId="33E1DD32" w14:textId="77777777" w:rsidR="00507531" w:rsidRDefault="00507531" w:rsidP="004F10D5">
      <w:pPr>
        <w:pStyle w:val="ROMANOS"/>
        <w:tabs>
          <w:tab w:val="clear" w:pos="720"/>
          <w:tab w:val="left" w:pos="288"/>
        </w:tabs>
        <w:spacing w:after="0" w:line="240" w:lineRule="exact"/>
        <w:ind w:left="284" w:firstLine="4"/>
        <w:rPr>
          <w:lang w:val="es-MX"/>
        </w:rPr>
      </w:pPr>
    </w:p>
    <w:p w14:paraId="6C93F5BB" w14:textId="77777777" w:rsidR="00507531" w:rsidRPr="009A5967" w:rsidRDefault="00507531" w:rsidP="004F10D5">
      <w:pPr>
        <w:pStyle w:val="ROMANOS"/>
        <w:tabs>
          <w:tab w:val="clear" w:pos="720"/>
          <w:tab w:val="left" w:pos="288"/>
        </w:tabs>
        <w:spacing w:after="0" w:line="240" w:lineRule="exact"/>
        <w:ind w:left="284" w:firstLine="4"/>
        <w:rPr>
          <w:lang w:val="es-MX"/>
        </w:rPr>
      </w:pPr>
    </w:p>
    <w:p w14:paraId="620EF98F" w14:textId="77777777" w:rsidR="00AC7F8A" w:rsidRDefault="00AC7F8A" w:rsidP="00AC7F8A">
      <w:pPr>
        <w:pStyle w:val="ROMANOS"/>
        <w:spacing w:after="0" w:line="240" w:lineRule="exact"/>
        <w:rPr>
          <w:b/>
          <w:lang w:val="es-MX"/>
        </w:rPr>
      </w:pPr>
      <w:r w:rsidRPr="009A5967">
        <w:rPr>
          <w:b/>
          <w:lang w:val="es-MX"/>
        </w:rPr>
        <w:t>Gastos y Otras Pérdidas:</w:t>
      </w:r>
    </w:p>
    <w:p w14:paraId="36D25E90" w14:textId="77777777" w:rsidR="00F335B7" w:rsidRPr="009A5967" w:rsidRDefault="00F335B7" w:rsidP="00AC7F8A">
      <w:pPr>
        <w:pStyle w:val="ROMANOS"/>
        <w:spacing w:after="0" w:line="240" w:lineRule="exact"/>
        <w:rPr>
          <w:b/>
          <w:lang w:val="es-MX"/>
        </w:rPr>
      </w:pPr>
    </w:p>
    <w:p w14:paraId="620EF990" w14:textId="1CC21A14" w:rsidR="00AC7F8A" w:rsidRPr="009A5967" w:rsidRDefault="00AC7F8A" w:rsidP="004F10D5">
      <w:pPr>
        <w:autoSpaceDE w:val="0"/>
        <w:autoSpaceDN w:val="0"/>
        <w:adjustRightInd w:val="0"/>
        <w:spacing w:after="0" w:line="240" w:lineRule="auto"/>
        <w:ind w:left="284" w:firstLine="4"/>
        <w:jc w:val="both"/>
        <w:rPr>
          <w:rFonts w:ascii="Arial" w:hAnsi="Arial" w:cs="Arial"/>
          <w:sz w:val="18"/>
          <w:szCs w:val="18"/>
          <w:lang w:val="es-ES"/>
        </w:rPr>
      </w:pPr>
      <w:r w:rsidRPr="009A5967">
        <w:rPr>
          <w:rFonts w:ascii="Arial" w:hAnsi="Arial" w:cs="Arial"/>
          <w:sz w:val="18"/>
          <w:szCs w:val="18"/>
          <w:lang w:val="es-ES"/>
        </w:rPr>
        <w:t>Representa el importe de los gastos y otras pérdidas incurridos por gastos de funcionamiento,</w:t>
      </w:r>
      <w:r w:rsidR="003C1E83">
        <w:rPr>
          <w:rFonts w:ascii="Arial" w:hAnsi="Arial" w:cs="Arial"/>
          <w:sz w:val="18"/>
          <w:szCs w:val="18"/>
          <w:lang w:val="es-ES"/>
        </w:rPr>
        <w:t xml:space="preserve"> asi como</w:t>
      </w:r>
      <w:r w:rsidRPr="009A5967">
        <w:rPr>
          <w:rFonts w:ascii="Arial" w:hAnsi="Arial" w:cs="Arial"/>
          <w:sz w:val="18"/>
          <w:szCs w:val="18"/>
          <w:lang w:val="es-ES"/>
        </w:rPr>
        <w:t xml:space="preserve"> transferencias, participaciones y aportaciones otorgadas</w:t>
      </w:r>
      <w:r w:rsidR="003C1E83">
        <w:rPr>
          <w:rFonts w:ascii="Arial" w:hAnsi="Arial" w:cs="Arial"/>
          <w:sz w:val="18"/>
          <w:szCs w:val="18"/>
          <w:lang w:val="es-ES"/>
        </w:rPr>
        <w:t>.</w:t>
      </w:r>
      <w:r w:rsidRPr="009A5967">
        <w:rPr>
          <w:rFonts w:ascii="Arial" w:hAnsi="Arial" w:cs="Arial"/>
          <w:sz w:val="18"/>
          <w:szCs w:val="18"/>
          <w:lang w:val="es-ES"/>
        </w:rPr>
        <w:t xml:space="preserve"> </w:t>
      </w:r>
    </w:p>
    <w:p w14:paraId="620EF991" w14:textId="77777777" w:rsidR="00AC7F8A" w:rsidRPr="009A5967" w:rsidRDefault="00AC7F8A" w:rsidP="00AC7F8A">
      <w:pPr>
        <w:autoSpaceDE w:val="0"/>
        <w:autoSpaceDN w:val="0"/>
        <w:adjustRightInd w:val="0"/>
        <w:spacing w:after="0" w:line="240" w:lineRule="auto"/>
        <w:ind w:left="284" w:firstLine="4"/>
        <w:rPr>
          <w:rFonts w:ascii="Arial" w:hAnsi="Arial" w:cs="Arial"/>
          <w:sz w:val="18"/>
          <w:szCs w:val="18"/>
          <w:lang w:val="es-ES"/>
        </w:rPr>
      </w:pPr>
    </w:p>
    <w:p w14:paraId="620EF992" w14:textId="2D6106A5" w:rsidR="00AC7F8A" w:rsidRDefault="00AC7F8A" w:rsidP="00274905">
      <w:pPr>
        <w:autoSpaceDE w:val="0"/>
        <w:autoSpaceDN w:val="0"/>
        <w:adjustRightInd w:val="0"/>
        <w:spacing w:after="0" w:line="240" w:lineRule="auto"/>
        <w:ind w:left="284" w:firstLine="4"/>
        <w:jc w:val="both"/>
        <w:rPr>
          <w:rFonts w:ascii="Arial" w:hAnsi="Arial" w:cs="Arial"/>
          <w:sz w:val="18"/>
          <w:szCs w:val="18"/>
        </w:rPr>
      </w:pPr>
      <w:r w:rsidRPr="009A5967">
        <w:rPr>
          <w:rFonts w:ascii="Arial" w:hAnsi="Arial" w:cs="Arial"/>
          <w:sz w:val="18"/>
          <w:szCs w:val="18"/>
          <w:lang w:val="es-ES"/>
        </w:rPr>
        <w:t xml:space="preserve">El gasto por remuneraciones al personal </w:t>
      </w:r>
      <w:r w:rsidRPr="009A5967">
        <w:rPr>
          <w:rFonts w:ascii="Arial" w:hAnsi="Arial" w:cs="Arial"/>
          <w:sz w:val="18"/>
          <w:szCs w:val="18"/>
        </w:rPr>
        <w:t>necesario para brindar atención en las diferentes unidades médicas</w:t>
      </w:r>
      <w:r w:rsidR="004F10D5">
        <w:rPr>
          <w:rFonts w:ascii="Arial" w:hAnsi="Arial" w:cs="Arial"/>
          <w:sz w:val="18"/>
          <w:szCs w:val="18"/>
        </w:rPr>
        <w:t xml:space="preserve"> y administrativas</w:t>
      </w:r>
      <w:r w:rsidRPr="009A5967">
        <w:rPr>
          <w:rFonts w:ascii="Arial" w:hAnsi="Arial" w:cs="Arial"/>
          <w:sz w:val="18"/>
          <w:szCs w:val="18"/>
        </w:rPr>
        <w:t xml:space="preserve"> que integran la Secretaría de Salud y O.P.D. Salud de Tlaxcala</w:t>
      </w:r>
      <w:r w:rsidR="00387376">
        <w:rPr>
          <w:rFonts w:ascii="Arial" w:hAnsi="Arial" w:cs="Arial"/>
          <w:sz w:val="18"/>
          <w:szCs w:val="18"/>
        </w:rPr>
        <w:t>,</w:t>
      </w:r>
      <w:r w:rsidR="005614C3">
        <w:rPr>
          <w:rFonts w:ascii="Arial" w:hAnsi="Arial" w:cs="Arial"/>
          <w:sz w:val="18"/>
          <w:szCs w:val="18"/>
        </w:rPr>
        <w:t xml:space="preserve"> por el periodo que se informa</w:t>
      </w:r>
      <w:r w:rsidR="003C1E83">
        <w:rPr>
          <w:rFonts w:ascii="Arial" w:hAnsi="Arial" w:cs="Arial"/>
          <w:sz w:val="18"/>
          <w:szCs w:val="18"/>
        </w:rPr>
        <w:t>,</w:t>
      </w:r>
      <w:r>
        <w:rPr>
          <w:rFonts w:ascii="Arial" w:hAnsi="Arial" w:cs="Arial"/>
          <w:sz w:val="18"/>
          <w:szCs w:val="18"/>
        </w:rPr>
        <w:t xml:space="preserve"> represent</w:t>
      </w:r>
      <w:r w:rsidR="00A16D87">
        <w:rPr>
          <w:rFonts w:ascii="Arial" w:hAnsi="Arial" w:cs="Arial"/>
          <w:sz w:val="18"/>
          <w:szCs w:val="18"/>
        </w:rPr>
        <w:t>ó</w:t>
      </w:r>
      <w:r>
        <w:rPr>
          <w:rFonts w:ascii="Arial" w:hAnsi="Arial" w:cs="Arial"/>
          <w:sz w:val="18"/>
          <w:szCs w:val="18"/>
        </w:rPr>
        <w:t xml:space="preserve"> </w:t>
      </w:r>
      <w:r w:rsidRPr="009A5967">
        <w:rPr>
          <w:rFonts w:ascii="Arial" w:hAnsi="Arial" w:cs="Arial"/>
          <w:sz w:val="18"/>
          <w:szCs w:val="18"/>
        </w:rPr>
        <w:t xml:space="preserve">el </w:t>
      </w:r>
      <w:r w:rsidR="00A16D87">
        <w:rPr>
          <w:rFonts w:ascii="Arial" w:hAnsi="Arial" w:cs="Arial"/>
          <w:sz w:val="18"/>
          <w:szCs w:val="18"/>
        </w:rPr>
        <w:t>97</w:t>
      </w:r>
      <w:r w:rsidR="00B803CE">
        <w:rPr>
          <w:rFonts w:ascii="Arial" w:hAnsi="Arial" w:cs="Arial"/>
          <w:sz w:val="18"/>
          <w:szCs w:val="18"/>
        </w:rPr>
        <w:t>.</w:t>
      </w:r>
      <w:r w:rsidR="00A16D87">
        <w:rPr>
          <w:rFonts w:ascii="Arial" w:hAnsi="Arial" w:cs="Arial"/>
          <w:sz w:val="18"/>
          <w:szCs w:val="18"/>
        </w:rPr>
        <w:t>19</w:t>
      </w:r>
      <w:r>
        <w:rPr>
          <w:rFonts w:ascii="Arial" w:hAnsi="Arial" w:cs="Arial"/>
          <w:sz w:val="18"/>
          <w:szCs w:val="18"/>
        </w:rPr>
        <w:t xml:space="preserve">%, mientras que el </w:t>
      </w:r>
      <w:r w:rsidR="00A16D87">
        <w:rPr>
          <w:rFonts w:ascii="Arial" w:hAnsi="Arial" w:cs="Arial"/>
          <w:sz w:val="18"/>
          <w:szCs w:val="18"/>
        </w:rPr>
        <w:t>0</w:t>
      </w:r>
      <w:r w:rsidR="0004354B">
        <w:rPr>
          <w:rFonts w:ascii="Arial" w:hAnsi="Arial" w:cs="Arial"/>
          <w:sz w:val="18"/>
          <w:szCs w:val="18"/>
        </w:rPr>
        <w:t>.</w:t>
      </w:r>
      <w:r w:rsidR="00A16D87">
        <w:rPr>
          <w:rFonts w:ascii="Arial" w:hAnsi="Arial" w:cs="Arial"/>
          <w:sz w:val="18"/>
          <w:szCs w:val="18"/>
        </w:rPr>
        <w:t>10</w:t>
      </w:r>
      <w:r>
        <w:rPr>
          <w:rFonts w:ascii="Arial" w:hAnsi="Arial" w:cs="Arial"/>
          <w:sz w:val="18"/>
          <w:szCs w:val="18"/>
        </w:rPr>
        <w:t xml:space="preserve">% </w:t>
      </w:r>
      <w:r w:rsidR="005614C3">
        <w:rPr>
          <w:rFonts w:ascii="Arial" w:hAnsi="Arial" w:cs="Arial"/>
          <w:sz w:val="18"/>
          <w:szCs w:val="18"/>
        </w:rPr>
        <w:t>fu</w:t>
      </w:r>
      <w:r>
        <w:rPr>
          <w:rFonts w:ascii="Arial" w:hAnsi="Arial" w:cs="Arial"/>
          <w:sz w:val="18"/>
          <w:szCs w:val="18"/>
        </w:rPr>
        <w:t>e destinado para el pago de</w:t>
      </w:r>
      <w:r w:rsidRPr="00F350EB">
        <w:rPr>
          <w:rFonts w:ascii="Arial" w:hAnsi="Arial" w:cs="Arial"/>
          <w:sz w:val="18"/>
          <w:szCs w:val="18"/>
        </w:rPr>
        <w:t xml:space="preserve"> toda clase de insumos y suministros</w:t>
      </w:r>
      <w:r>
        <w:rPr>
          <w:rFonts w:ascii="Arial" w:hAnsi="Arial" w:cs="Arial"/>
          <w:sz w:val="18"/>
          <w:szCs w:val="18"/>
        </w:rPr>
        <w:t xml:space="preserve"> </w:t>
      </w:r>
      <w:r w:rsidRPr="00F350EB">
        <w:rPr>
          <w:rFonts w:ascii="Arial" w:hAnsi="Arial" w:cs="Arial"/>
          <w:sz w:val="18"/>
          <w:szCs w:val="18"/>
        </w:rPr>
        <w:t xml:space="preserve">requeridos para la prestación </w:t>
      </w:r>
      <w:r>
        <w:rPr>
          <w:rFonts w:ascii="Arial" w:hAnsi="Arial" w:cs="Arial"/>
          <w:sz w:val="18"/>
          <w:szCs w:val="18"/>
        </w:rPr>
        <w:t>del</w:t>
      </w:r>
      <w:r w:rsidRPr="00F350EB">
        <w:rPr>
          <w:rFonts w:ascii="Arial" w:hAnsi="Arial" w:cs="Arial"/>
          <w:sz w:val="18"/>
          <w:szCs w:val="18"/>
        </w:rPr>
        <w:t xml:space="preserve"> servicio y desempeño de las actividades administrativas</w:t>
      </w:r>
      <w:r w:rsidR="00274905">
        <w:rPr>
          <w:rFonts w:ascii="Arial" w:hAnsi="Arial" w:cs="Arial"/>
          <w:sz w:val="18"/>
          <w:szCs w:val="18"/>
        </w:rPr>
        <w:t>,</w:t>
      </w:r>
      <w:r>
        <w:rPr>
          <w:rFonts w:ascii="Arial" w:hAnsi="Arial" w:cs="Arial"/>
          <w:sz w:val="18"/>
          <w:szCs w:val="18"/>
        </w:rPr>
        <w:t xml:space="preserve"> el </w:t>
      </w:r>
      <w:r w:rsidR="00A16D87">
        <w:rPr>
          <w:rFonts w:ascii="Arial" w:hAnsi="Arial" w:cs="Arial"/>
          <w:sz w:val="18"/>
          <w:szCs w:val="18"/>
        </w:rPr>
        <w:t>2</w:t>
      </w:r>
      <w:r w:rsidR="00B803CE">
        <w:rPr>
          <w:rFonts w:ascii="Arial" w:hAnsi="Arial" w:cs="Arial"/>
          <w:sz w:val="18"/>
          <w:szCs w:val="18"/>
        </w:rPr>
        <w:t>.5</w:t>
      </w:r>
      <w:r w:rsidR="00A16D87">
        <w:rPr>
          <w:rFonts w:ascii="Arial" w:hAnsi="Arial" w:cs="Arial"/>
          <w:sz w:val="18"/>
          <w:szCs w:val="18"/>
        </w:rPr>
        <w:t>1</w:t>
      </w:r>
      <w:r>
        <w:rPr>
          <w:rFonts w:ascii="Arial" w:hAnsi="Arial" w:cs="Arial"/>
          <w:sz w:val="18"/>
          <w:szCs w:val="18"/>
        </w:rPr>
        <w:t>% se desti</w:t>
      </w:r>
      <w:r w:rsidR="005614C3">
        <w:rPr>
          <w:rFonts w:ascii="Arial" w:hAnsi="Arial" w:cs="Arial"/>
          <w:sz w:val="18"/>
          <w:szCs w:val="18"/>
        </w:rPr>
        <w:t>nó</w:t>
      </w:r>
      <w:r>
        <w:rPr>
          <w:rFonts w:ascii="Arial" w:hAnsi="Arial" w:cs="Arial"/>
          <w:sz w:val="18"/>
          <w:szCs w:val="18"/>
        </w:rPr>
        <w:t xml:space="preserve"> para </w:t>
      </w:r>
      <w:r w:rsidR="005614C3">
        <w:rPr>
          <w:rFonts w:ascii="Arial" w:hAnsi="Arial" w:cs="Arial"/>
          <w:sz w:val="18"/>
          <w:szCs w:val="18"/>
        </w:rPr>
        <w:t xml:space="preserve">el </w:t>
      </w:r>
      <w:r>
        <w:rPr>
          <w:rFonts w:ascii="Arial" w:hAnsi="Arial" w:cs="Arial"/>
          <w:sz w:val="18"/>
          <w:szCs w:val="18"/>
        </w:rPr>
        <w:t>pago de servicios generales</w:t>
      </w:r>
      <w:r w:rsidR="0004354B">
        <w:rPr>
          <w:rFonts w:ascii="Arial" w:hAnsi="Arial" w:cs="Arial"/>
          <w:sz w:val="18"/>
          <w:szCs w:val="18"/>
        </w:rPr>
        <w:t xml:space="preserve"> y</w:t>
      </w:r>
      <w:r w:rsidR="005614C3">
        <w:rPr>
          <w:rFonts w:ascii="Arial" w:hAnsi="Arial" w:cs="Arial"/>
          <w:sz w:val="18"/>
          <w:szCs w:val="18"/>
        </w:rPr>
        <w:t xml:space="preserve"> finalmente</w:t>
      </w:r>
      <w:r w:rsidR="0004354B">
        <w:rPr>
          <w:rFonts w:ascii="Arial" w:hAnsi="Arial" w:cs="Arial"/>
          <w:sz w:val="18"/>
          <w:szCs w:val="18"/>
        </w:rPr>
        <w:t xml:space="preserve"> </w:t>
      </w:r>
      <w:r w:rsidR="0079173A">
        <w:rPr>
          <w:rFonts w:ascii="Arial" w:hAnsi="Arial" w:cs="Arial"/>
          <w:sz w:val="18"/>
          <w:szCs w:val="18"/>
        </w:rPr>
        <w:t>el 0.</w:t>
      </w:r>
      <w:r w:rsidR="00B803CE">
        <w:rPr>
          <w:rFonts w:ascii="Arial" w:hAnsi="Arial" w:cs="Arial"/>
          <w:sz w:val="18"/>
          <w:szCs w:val="18"/>
        </w:rPr>
        <w:t>2</w:t>
      </w:r>
      <w:r w:rsidR="00A16D87">
        <w:rPr>
          <w:rFonts w:ascii="Arial" w:hAnsi="Arial" w:cs="Arial"/>
          <w:sz w:val="18"/>
          <w:szCs w:val="18"/>
        </w:rPr>
        <w:t>0</w:t>
      </w:r>
      <w:r w:rsidR="003C1E83">
        <w:rPr>
          <w:rFonts w:ascii="Arial" w:hAnsi="Arial" w:cs="Arial"/>
          <w:sz w:val="18"/>
          <w:szCs w:val="18"/>
        </w:rPr>
        <w:t>%</w:t>
      </w:r>
      <w:r w:rsidR="00323DA4">
        <w:rPr>
          <w:rFonts w:ascii="Arial" w:hAnsi="Arial" w:cs="Arial"/>
          <w:sz w:val="18"/>
          <w:szCs w:val="18"/>
        </w:rPr>
        <w:t xml:space="preserve"> </w:t>
      </w:r>
      <w:r w:rsidR="0004354B">
        <w:rPr>
          <w:rFonts w:ascii="Arial" w:hAnsi="Arial" w:cs="Arial"/>
          <w:sz w:val="18"/>
          <w:szCs w:val="18"/>
        </w:rPr>
        <w:t>por concepto de</w:t>
      </w:r>
      <w:r>
        <w:rPr>
          <w:rFonts w:ascii="Arial" w:hAnsi="Arial" w:cs="Arial"/>
          <w:sz w:val="18"/>
          <w:szCs w:val="18"/>
        </w:rPr>
        <w:t xml:space="preserve"> ayudas sociales</w:t>
      </w:r>
      <w:r w:rsidR="00387376">
        <w:rPr>
          <w:rFonts w:ascii="Arial" w:hAnsi="Arial" w:cs="Arial"/>
          <w:sz w:val="18"/>
          <w:szCs w:val="18"/>
        </w:rPr>
        <w:t xml:space="preserve"> para la </w:t>
      </w:r>
      <w:r w:rsidR="001E4CC8">
        <w:rPr>
          <w:rFonts w:ascii="Arial" w:hAnsi="Arial" w:cs="Arial"/>
          <w:sz w:val="18"/>
          <w:szCs w:val="18"/>
        </w:rPr>
        <w:t>Beneficencia Pública</w:t>
      </w:r>
      <w:r w:rsidR="00387376">
        <w:rPr>
          <w:rFonts w:ascii="Arial" w:hAnsi="Arial" w:cs="Arial"/>
          <w:sz w:val="18"/>
          <w:szCs w:val="18"/>
        </w:rPr>
        <w:t>, atención ciudadana</w:t>
      </w:r>
      <w:r w:rsidR="005737CC">
        <w:rPr>
          <w:rFonts w:ascii="Arial" w:hAnsi="Arial" w:cs="Arial"/>
          <w:sz w:val="18"/>
          <w:szCs w:val="18"/>
        </w:rPr>
        <w:t>,</w:t>
      </w:r>
      <w:r w:rsidR="001E4CC8">
        <w:rPr>
          <w:rFonts w:ascii="Arial" w:hAnsi="Arial" w:cs="Arial"/>
          <w:sz w:val="18"/>
          <w:szCs w:val="18"/>
        </w:rPr>
        <w:t xml:space="preserve"> aportaciones al Centro de Rehabilitación Integral (CRI)</w:t>
      </w:r>
      <w:r w:rsidR="00323DA4">
        <w:rPr>
          <w:rFonts w:ascii="Arial" w:hAnsi="Arial" w:cs="Arial"/>
          <w:sz w:val="18"/>
          <w:szCs w:val="18"/>
        </w:rPr>
        <w:t>.</w:t>
      </w:r>
      <w:r w:rsidR="001E4CC8">
        <w:rPr>
          <w:rFonts w:ascii="Arial" w:hAnsi="Arial" w:cs="Arial"/>
          <w:sz w:val="18"/>
          <w:szCs w:val="18"/>
        </w:rPr>
        <w:t xml:space="preserve"> </w:t>
      </w:r>
    </w:p>
    <w:p w14:paraId="5B039C7B" w14:textId="77777777" w:rsidR="002E5ED2" w:rsidRPr="009A5967" w:rsidRDefault="002E5ED2" w:rsidP="00082C0D">
      <w:pPr>
        <w:pStyle w:val="ROMANOS"/>
        <w:spacing w:after="0" w:line="240" w:lineRule="exact"/>
        <w:ind w:left="0" w:firstLine="0"/>
        <w:rPr>
          <w:lang w:val="es-MX"/>
        </w:rPr>
      </w:pPr>
    </w:p>
    <w:p w14:paraId="620EF998" w14:textId="77777777" w:rsidR="00AC7F8A" w:rsidRDefault="00AC7F8A" w:rsidP="00AC7F8A">
      <w:pPr>
        <w:pStyle w:val="INCISO"/>
        <w:spacing w:after="0" w:line="240" w:lineRule="exact"/>
        <w:ind w:left="360"/>
        <w:jc w:val="center"/>
        <w:rPr>
          <w:b/>
          <w:smallCaps/>
        </w:rPr>
      </w:pPr>
      <w:r w:rsidRPr="00994CB8">
        <w:rPr>
          <w:b/>
          <w:smallCaps/>
        </w:rPr>
        <w:t>III)</w:t>
      </w:r>
      <w:r w:rsidRPr="00994CB8">
        <w:rPr>
          <w:b/>
          <w:smallCaps/>
        </w:rPr>
        <w:tab/>
        <w:t>Notas al Estado de Variación en la Hacienda Pública</w:t>
      </w:r>
    </w:p>
    <w:p w14:paraId="620EF999" w14:textId="77777777" w:rsidR="00E11756" w:rsidRPr="00994CB8" w:rsidRDefault="00E11756" w:rsidP="00AC7F8A">
      <w:pPr>
        <w:pStyle w:val="INCISO"/>
        <w:spacing w:after="0" w:line="240" w:lineRule="exact"/>
        <w:ind w:left="360"/>
        <w:jc w:val="center"/>
        <w:rPr>
          <w:b/>
          <w:smallCaps/>
        </w:rPr>
      </w:pPr>
    </w:p>
    <w:p w14:paraId="620EF99A" w14:textId="0220D266" w:rsidR="00AC7F8A" w:rsidRPr="00630DB0" w:rsidRDefault="00AC7F8A" w:rsidP="00AC7F8A">
      <w:pPr>
        <w:pStyle w:val="ROMANOS"/>
        <w:spacing w:after="0" w:line="240" w:lineRule="exact"/>
        <w:rPr>
          <w:lang w:val="es-MX"/>
        </w:rPr>
      </w:pPr>
      <w:r w:rsidRPr="00994CB8">
        <w:rPr>
          <w:lang w:val="es-MX"/>
        </w:rPr>
        <w:t>1.</w:t>
      </w:r>
      <w:r w:rsidRPr="00994CB8">
        <w:rPr>
          <w:lang w:val="es-MX"/>
        </w:rPr>
        <w:tab/>
      </w:r>
      <w:r>
        <w:rPr>
          <w:lang w:val="es-MX"/>
        </w:rPr>
        <w:t>No se tiene patrimonio contribuido</w:t>
      </w:r>
      <w:r w:rsidR="005614C3">
        <w:rPr>
          <w:lang w:val="es-MX"/>
        </w:rPr>
        <w:t xml:space="preserve"> al periodo que se presenta</w:t>
      </w:r>
      <w:r>
        <w:rPr>
          <w:lang w:val="es-MX"/>
        </w:rPr>
        <w:t>.</w:t>
      </w:r>
    </w:p>
    <w:p w14:paraId="620EF99B" w14:textId="5227C73E" w:rsidR="00AC7F8A" w:rsidRDefault="00AC7F8A" w:rsidP="00AC7F8A">
      <w:pPr>
        <w:pStyle w:val="ROMANOS"/>
        <w:spacing w:after="0" w:line="240" w:lineRule="exact"/>
        <w:rPr>
          <w:lang w:val="es-MX"/>
        </w:rPr>
      </w:pPr>
      <w:r w:rsidRPr="00630DB0">
        <w:rPr>
          <w:lang w:val="es-MX"/>
        </w:rPr>
        <w:t>2.</w:t>
      </w:r>
      <w:r w:rsidRPr="00630DB0">
        <w:rPr>
          <w:lang w:val="es-MX"/>
        </w:rPr>
        <w:tab/>
      </w:r>
      <w:r w:rsidRPr="00E11756">
        <w:rPr>
          <w:lang w:val="es-MX"/>
        </w:rPr>
        <w:t>Las modificaciones al patrimonio generado correspondieron a la aplicación de remanentes de ejercicio</w:t>
      </w:r>
      <w:r w:rsidR="002E38A5">
        <w:rPr>
          <w:lang w:val="es-MX"/>
        </w:rPr>
        <w:t>s</w:t>
      </w:r>
      <w:r w:rsidRPr="00E11756">
        <w:rPr>
          <w:lang w:val="es-MX"/>
        </w:rPr>
        <w:t xml:space="preserve"> anteriores.</w:t>
      </w:r>
    </w:p>
    <w:p w14:paraId="620EF99C" w14:textId="38105709" w:rsidR="0004354B" w:rsidRDefault="0004354B" w:rsidP="00AC7F8A">
      <w:pPr>
        <w:pStyle w:val="ROMANOS"/>
        <w:spacing w:after="0" w:line="240" w:lineRule="exact"/>
        <w:ind w:left="1008" w:firstLine="0"/>
        <w:rPr>
          <w:lang w:val="es-MX"/>
        </w:rPr>
      </w:pPr>
    </w:p>
    <w:p w14:paraId="65E7C980" w14:textId="082A11C3" w:rsidR="00565193" w:rsidRDefault="00565193" w:rsidP="00AC7F8A">
      <w:pPr>
        <w:pStyle w:val="ROMANOS"/>
        <w:spacing w:after="0" w:line="240" w:lineRule="exact"/>
        <w:ind w:left="1008" w:firstLine="0"/>
        <w:rPr>
          <w:lang w:val="es-MX"/>
        </w:rPr>
      </w:pPr>
    </w:p>
    <w:p w14:paraId="49607CC6" w14:textId="77777777" w:rsidR="00A16D87" w:rsidRDefault="00A16D87" w:rsidP="00AC7F8A">
      <w:pPr>
        <w:pStyle w:val="ROMANOS"/>
        <w:spacing w:after="0" w:line="240" w:lineRule="exact"/>
        <w:ind w:left="1008" w:firstLine="0"/>
        <w:rPr>
          <w:lang w:val="es-MX"/>
        </w:rPr>
      </w:pPr>
    </w:p>
    <w:p w14:paraId="159F8303" w14:textId="77777777" w:rsidR="00A16D87" w:rsidRDefault="00A16D87" w:rsidP="00AC7F8A">
      <w:pPr>
        <w:pStyle w:val="ROMANOS"/>
        <w:spacing w:after="0" w:line="240" w:lineRule="exact"/>
        <w:ind w:left="1008" w:firstLine="0"/>
        <w:rPr>
          <w:lang w:val="es-MX"/>
        </w:rPr>
      </w:pPr>
    </w:p>
    <w:p w14:paraId="2371BDB8" w14:textId="77777777" w:rsidR="00A16D87" w:rsidRDefault="00A16D87" w:rsidP="00AC7F8A">
      <w:pPr>
        <w:pStyle w:val="ROMANOS"/>
        <w:spacing w:after="0" w:line="240" w:lineRule="exact"/>
        <w:ind w:left="1008" w:firstLine="0"/>
        <w:rPr>
          <w:lang w:val="es-MX"/>
        </w:rPr>
      </w:pPr>
    </w:p>
    <w:p w14:paraId="5D87F516" w14:textId="77777777" w:rsidR="00A16D87" w:rsidRDefault="00A16D87" w:rsidP="00AC7F8A">
      <w:pPr>
        <w:pStyle w:val="ROMANOS"/>
        <w:spacing w:after="0" w:line="240" w:lineRule="exact"/>
        <w:ind w:left="1008" w:firstLine="0"/>
        <w:rPr>
          <w:lang w:val="es-MX"/>
        </w:rPr>
      </w:pPr>
    </w:p>
    <w:p w14:paraId="43D24481" w14:textId="77777777" w:rsidR="00A16D87" w:rsidRDefault="00A16D87" w:rsidP="00AC7F8A">
      <w:pPr>
        <w:pStyle w:val="ROMANOS"/>
        <w:spacing w:after="0" w:line="240" w:lineRule="exact"/>
        <w:ind w:left="1008" w:firstLine="0"/>
        <w:rPr>
          <w:lang w:val="es-MX"/>
        </w:rPr>
      </w:pPr>
    </w:p>
    <w:p w14:paraId="749AD7D6" w14:textId="77777777" w:rsidR="00A16D87" w:rsidRDefault="00A16D87" w:rsidP="00AC7F8A">
      <w:pPr>
        <w:pStyle w:val="ROMANOS"/>
        <w:spacing w:after="0" w:line="240" w:lineRule="exact"/>
        <w:ind w:left="1008" w:firstLine="0"/>
        <w:rPr>
          <w:lang w:val="es-MX"/>
        </w:rPr>
      </w:pPr>
    </w:p>
    <w:p w14:paraId="735717D0" w14:textId="77777777" w:rsidR="00A16D87" w:rsidRDefault="00A16D87" w:rsidP="00AC7F8A">
      <w:pPr>
        <w:pStyle w:val="ROMANOS"/>
        <w:spacing w:after="0" w:line="240" w:lineRule="exact"/>
        <w:ind w:left="1008" w:firstLine="0"/>
        <w:rPr>
          <w:lang w:val="es-MX"/>
        </w:rPr>
      </w:pPr>
    </w:p>
    <w:p w14:paraId="6F397621" w14:textId="77777777" w:rsidR="00A16D87" w:rsidRDefault="00A16D87" w:rsidP="00AC7F8A">
      <w:pPr>
        <w:pStyle w:val="ROMANOS"/>
        <w:spacing w:after="0" w:line="240" w:lineRule="exact"/>
        <w:ind w:left="1008" w:firstLine="0"/>
        <w:rPr>
          <w:lang w:val="es-MX"/>
        </w:rPr>
      </w:pPr>
    </w:p>
    <w:p w14:paraId="0A75BBAA" w14:textId="77777777" w:rsidR="00A16D87" w:rsidRDefault="00A16D87" w:rsidP="00AC7F8A">
      <w:pPr>
        <w:pStyle w:val="ROMANOS"/>
        <w:spacing w:after="0" w:line="240" w:lineRule="exact"/>
        <w:ind w:left="1008" w:firstLine="0"/>
        <w:rPr>
          <w:lang w:val="es-MX"/>
        </w:rPr>
      </w:pPr>
    </w:p>
    <w:p w14:paraId="61AD1CFB" w14:textId="77777777" w:rsidR="00A16D87" w:rsidRDefault="00A16D87" w:rsidP="00AC7F8A">
      <w:pPr>
        <w:pStyle w:val="ROMANOS"/>
        <w:spacing w:after="0" w:line="240" w:lineRule="exact"/>
        <w:ind w:left="1008" w:firstLine="0"/>
        <w:rPr>
          <w:lang w:val="es-MX"/>
        </w:rPr>
      </w:pPr>
    </w:p>
    <w:p w14:paraId="493DBA2D" w14:textId="77777777" w:rsidR="00A16D87" w:rsidRDefault="00A16D87" w:rsidP="00AC7F8A">
      <w:pPr>
        <w:pStyle w:val="ROMANOS"/>
        <w:spacing w:after="0" w:line="240" w:lineRule="exact"/>
        <w:ind w:left="1008" w:firstLine="0"/>
        <w:rPr>
          <w:lang w:val="es-MX"/>
        </w:rPr>
      </w:pPr>
    </w:p>
    <w:p w14:paraId="601C26E3" w14:textId="77777777" w:rsidR="00A16D87" w:rsidRDefault="00A16D87" w:rsidP="00AC7F8A">
      <w:pPr>
        <w:pStyle w:val="ROMANOS"/>
        <w:spacing w:after="0" w:line="240" w:lineRule="exact"/>
        <w:ind w:left="1008" w:firstLine="0"/>
        <w:rPr>
          <w:lang w:val="es-MX"/>
        </w:rPr>
      </w:pPr>
    </w:p>
    <w:p w14:paraId="330CCACD" w14:textId="77777777" w:rsidR="00A16D87" w:rsidRDefault="00A16D87" w:rsidP="00AC7F8A">
      <w:pPr>
        <w:pStyle w:val="ROMANOS"/>
        <w:spacing w:after="0" w:line="240" w:lineRule="exact"/>
        <w:ind w:left="1008" w:firstLine="0"/>
        <w:rPr>
          <w:lang w:val="es-MX"/>
        </w:rPr>
      </w:pPr>
    </w:p>
    <w:p w14:paraId="0CCCE960" w14:textId="77777777" w:rsidR="00A16D87" w:rsidRDefault="00A16D87" w:rsidP="00AC7F8A">
      <w:pPr>
        <w:pStyle w:val="ROMANOS"/>
        <w:spacing w:after="0" w:line="240" w:lineRule="exact"/>
        <w:ind w:left="1008" w:firstLine="0"/>
        <w:rPr>
          <w:lang w:val="es-MX"/>
        </w:rPr>
      </w:pPr>
    </w:p>
    <w:p w14:paraId="2C21C59E" w14:textId="77777777" w:rsidR="00A16D87" w:rsidRDefault="00A16D87" w:rsidP="00AC7F8A">
      <w:pPr>
        <w:pStyle w:val="ROMANOS"/>
        <w:spacing w:after="0" w:line="240" w:lineRule="exact"/>
        <w:ind w:left="1008" w:firstLine="0"/>
        <w:rPr>
          <w:lang w:val="es-MX"/>
        </w:rPr>
      </w:pPr>
    </w:p>
    <w:p w14:paraId="26A70BA7" w14:textId="77777777" w:rsidR="00A16D87" w:rsidRDefault="00A16D87" w:rsidP="00AC7F8A">
      <w:pPr>
        <w:pStyle w:val="ROMANOS"/>
        <w:spacing w:after="0" w:line="240" w:lineRule="exact"/>
        <w:ind w:left="1008" w:firstLine="0"/>
        <w:rPr>
          <w:lang w:val="es-MX"/>
        </w:rPr>
      </w:pPr>
    </w:p>
    <w:p w14:paraId="7176C38E" w14:textId="77777777" w:rsidR="00A16D87" w:rsidRDefault="00A16D87" w:rsidP="00AC7F8A">
      <w:pPr>
        <w:pStyle w:val="ROMANOS"/>
        <w:spacing w:after="0" w:line="240" w:lineRule="exact"/>
        <w:ind w:left="1008" w:firstLine="0"/>
        <w:rPr>
          <w:lang w:val="es-MX"/>
        </w:rPr>
      </w:pPr>
    </w:p>
    <w:p w14:paraId="4D8B4F93" w14:textId="74788F25" w:rsidR="00565193" w:rsidRDefault="00565193" w:rsidP="00AC7F8A">
      <w:pPr>
        <w:pStyle w:val="ROMANOS"/>
        <w:spacing w:after="0" w:line="240" w:lineRule="exact"/>
        <w:ind w:left="1008" w:firstLine="0"/>
        <w:rPr>
          <w:lang w:val="es-MX"/>
        </w:rPr>
      </w:pPr>
    </w:p>
    <w:p w14:paraId="501868FD" w14:textId="53809723" w:rsidR="00565193" w:rsidRDefault="00565193" w:rsidP="00AC7F8A">
      <w:pPr>
        <w:pStyle w:val="ROMANOS"/>
        <w:spacing w:after="0" w:line="240" w:lineRule="exact"/>
        <w:ind w:left="1008" w:firstLine="0"/>
        <w:rPr>
          <w:lang w:val="es-MX"/>
        </w:rPr>
      </w:pPr>
    </w:p>
    <w:p w14:paraId="620EF99D" w14:textId="77777777" w:rsidR="00AC7F8A" w:rsidRPr="00630DB0" w:rsidRDefault="00AC7F8A" w:rsidP="00AC7F8A">
      <w:pPr>
        <w:pStyle w:val="INCISO"/>
        <w:spacing w:after="0" w:line="240" w:lineRule="exact"/>
        <w:ind w:left="360"/>
        <w:jc w:val="center"/>
        <w:rPr>
          <w:b/>
          <w:smallCaps/>
        </w:rPr>
      </w:pPr>
      <w:r w:rsidRPr="00630DB0">
        <w:rPr>
          <w:b/>
          <w:smallCaps/>
        </w:rPr>
        <w:t>IV)</w:t>
      </w:r>
      <w:r w:rsidRPr="00630DB0">
        <w:rPr>
          <w:b/>
          <w:smallCaps/>
        </w:rPr>
        <w:tab/>
        <w:t>Notas al Estado de Flujos de Efectivo</w:t>
      </w:r>
    </w:p>
    <w:p w14:paraId="620EF99F" w14:textId="77777777" w:rsidR="00AC7F8A" w:rsidRDefault="00AC7F8A" w:rsidP="00082C0D">
      <w:pPr>
        <w:pStyle w:val="ROMANOS"/>
        <w:spacing w:after="0" w:line="240" w:lineRule="exact"/>
        <w:ind w:left="0" w:firstLine="0"/>
        <w:rPr>
          <w:b/>
          <w:lang w:val="es-MX"/>
        </w:rPr>
      </w:pPr>
    </w:p>
    <w:p w14:paraId="620EF9A0" w14:textId="1373BEDE" w:rsidR="00AC7F8A" w:rsidRPr="007D286F" w:rsidRDefault="00AC7F8A" w:rsidP="00AC7F8A">
      <w:pPr>
        <w:pStyle w:val="ROMANOS"/>
        <w:tabs>
          <w:tab w:val="clear" w:pos="720"/>
          <w:tab w:val="left" w:pos="288"/>
        </w:tabs>
        <w:spacing w:after="0" w:line="240" w:lineRule="exact"/>
        <w:ind w:left="284" w:firstLine="4"/>
        <w:rPr>
          <w:lang w:val="es-MX"/>
        </w:rPr>
      </w:pPr>
      <w:r w:rsidRPr="007D286F">
        <w:rPr>
          <w:lang w:val="es-MX"/>
        </w:rPr>
        <w:t>Su finalidad es proveer de información sobre los flujos de efectivo identificando las fuentes de entradas y salidas de recursos, clasificadas por actividades</w:t>
      </w:r>
      <w:r>
        <w:rPr>
          <w:lang w:val="es-MX"/>
        </w:rPr>
        <w:t xml:space="preserve"> de operación, </w:t>
      </w:r>
      <w:r w:rsidRPr="007D286F">
        <w:rPr>
          <w:lang w:val="es-MX"/>
        </w:rPr>
        <w:t>de inversión y de financiamiento</w:t>
      </w:r>
      <w:r w:rsidR="00507531">
        <w:rPr>
          <w:lang w:val="es-MX"/>
        </w:rPr>
        <w:t>.</w:t>
      </w:r>
    </w:p>
    <w:p w14:paraId="620EF9A1" w14:textId="77777777" w:rsidR="00AC7F8A" w:rsidRDefault="00AC7F8A" w:rsidP="00AC7F8A">
      <w:pPr>
        <w:pStyle w:val="ROMANOS"/>
        <w:spacing w:after="0" w:line="240" w:lineRule="exact"/>
        <w:rPr>
          <w:b/>
          <w:lang w:val="es-MX"/>
        </w:rPr>
      </w:pPr>
    </w:p>
    <w:p w14:paraId="620EF9A2" w14:textId="77777777" w:rsidR="00AC7F8A" w:rsidRPr="00630DB0" w:rsidRDefault="00AC7F8A" w:rsidP="00AC7F8A">
      <w:pPr>
        <w:pStyle w:val="ROMANOS"/>
        <w:spacing w:after="0" w:line="240" w:lineRule="exact"/>
        <w:rPr>
          <w:b/>
          <w:lang w:val="es-MX"/>
        </w:rPr>
      </w:pPr>
      <w:r w:rsidRPr="00630DB0">
        <w:rPr>
          <w:b/>
          <w:lang w:val="es-MX"/>
        </w:rPr>
        <w:t>Efectivo y equivalentes</w:t>
      </w:r>
    </w:p>
    <w:p w14:paraId="620EF9A3" w14:textId="77777777" w:rsidR="00AC7F8A" w:rsidRPr="00630DB0" w:rsidRDefault="00AC7F8A" w:rsidP="00AC7F8A">
      <w:pPr>
        <w:pStyle w:val="ROMANOS"/>
        <w:spacing w:after="0" w:line="240" w:lineRule="exact"/>
        <w:rPr>
          <w:lang w:val="es-MX"/>
        </w:rPr>
      </w:pPr>
      <w:r w:rsidRPr="00630DB0">
        <w:rPr>
          <w:lang w:val="es-MX"/>
        </w:rPr>
        <w:t>El análisis de los saldos inicial y final que figuran en la última parte del Estado de Flujo de Efectivo en la cuenta de efectivo y equivalentes es como sigue:</w:t>
      </w:r>
    </w:p>
    <w:p w14:paraId="620EF9A4" w14:textId="77777777" w:rsidR="00AC7F8A" w:rsidRPr="00630DB0" w:rsidRDefault="00AC7F8A" w:rsidP="00AC7F8A">
      <w:pPr>
        <w:pStyle w:val="ROMANOS"/>
        <w:spacing w:after="0" w:line="240" w:lineRule="exact"/>
        <w:ind w:left="648" w:firstLine="0"/>
        <w:rPr>
          <w:lang w:val="es-MX"/>
        </w:rPr>
      </w:pPr>
    </w:p>
    <w:tbl>
      <w:tblPr>
        <w:tblStyle w:val="Tablaconcuadrcula"/>
        <w:tblW w:w="0" w:type="auto"/>
        <w:jc w:val="center"/>
        <w:tblLayout w:type="fixed"/>
        <w:tblLook w:val="0000" w:firstRow="0" w:lastRow="0" w:firstColumn="0" w:lastColumn="0" w:noHBand="0" w:noVBand="0"/>
      </w:tblPr>
      <w:tblGrid>
        <w:gridCol w:w="3584"/>
        <w:gridCol w:w="1798"/>
        <w:gridCol w:w="1843"/>
      </w:tblGrid>
      <w:tr w:rsidR="00AC7F8A" w:rsidRPr="002C6BD8" w14:paraId="620EF9A8" w14:textId="77777777" w:rsidTr="00FF62DE">
        <w:trPr>
          <w:jc w:val="center"/>
        </w:trPr>
        <w:tc>
          <w:tcPr>
            <w:tcW w:w="3584" w:type="dxa"/>
          </w:tcPr>
          <w:p w14:paraId="620EF9A5" w14:textId="2F11A37C" w:rsidR="00AC7F8A" w:rsidRPr="00630DB0" w:rsidRDefault="00AC7F8A" w:rsidP="00AD6257">
            <w:pPr>
              <w:pStyle w:val="Texto"/>
              <w:spacing w:after="0" w:line="240" w:lineRule="exact"/>
              <w:ind w:firstLine="0"/>
              <w:rPr>
                <w:szCs w:val="18"/>
                <w:lang w:val="es-MX"/>
              </w:rPr>
            </w:pPr>
          </w:p>
        </w:tc>
        <w:tc>
          <w:tcPr>
            <w:tcW w:w="1798" w:type="dxa"/>
          </w:tcPr>
          <w:p w14:paraId="620EF9A6" w14:textId="46D4B7A0" w:rsidR="00AC7F8A" w:rsidRPr="002C6BD8" w:rsidRDefault="00AC7F8A" w:rsidP="00A16D87">
            <w:pPr>
              <w:pStyle w:val="Texto"/>
              <w:spacing w:after="0" w:line="240" w:lineRule="exact"/>
              <w:ind w:firstLine="0"/>
              <w:jc w:val="center"/>
              <w:rPr>
                <w:szCs w:val="18"/>
                <w:lang w:val="es-MX"/>
              </w:rPr>
            </w:pPr>
            <w:r w:rsidRPr="002C6BD8">
              <w:rPr>
                <w:szCs w:val="18"/>
                <w:lang w:val="es-MX"/>
              </w:rPr>
              <w:t>20</w:t>
            </w:r>
            <w:r w:rsidR="00FF62DE">
              <w:rPr>
                <w:szCs w:val="18"/>
                <w:lang w:val="es-MX"/>
              </w:rPr>
              <w:t>2</w:t>
            </w:r>
            <w:r w:rsidR="00A16D87">
              <w:rPr>
                <w:szCs w:val="18"/>
                <w:lang w:val="es-MX"/>
              </w:rPr>
              <w:t>1</w:t>
            </w:r>
          </w:p>
        </w:tc>
        <w:tc>
          <w:tcPr>
            <w:tcW w:w="1843" w:type="dxa"/>
          </w:tcPr>
          <w:p w14:paraId="620EF9A7" w14:textId="1D45CAF6" w:rsidR="00AC7F8A" w:rsidRPr="002C6BD8" w:rsidRDefault="00A16D87" w:rsidP="0004354B">
            <w:pPr>
              <w:pStyle w:val="Texto"/>
              <w:spacing w:after="0" w:line="240" w:lineRule="exact"/>
              <w:ind w:firstLine="0"/>
              <w:jc w:val="center"/>
              <w:rPr>
                <w:szCs w:val="18"/>
                <w:lang w:val="es-MX"/>
              </w:rPr>
            </w:pPr>
            <w:r>
              <w:rPr>
                <w:szCs w:val="18"/>
                <w:lang w:val="es-MX"/>
              </w:rPr>
              <w:t>2020</w:t>
            </w:r>
          </w:p>
        </w:tc>
      </w:tr>
      <w:tr w:rsidR="00A16D87" w:rsidRPr="002C6BD8" w14:paraId="620EF9AC" w14:textId="77777777" w:rsidTr="00FF62DE">
        <w:trPr>
          <w:trHeight w:val="205"/>
          <w:jc w:val="center"/>
        </w:trPr>
        <w:tc>
          <w:tcPr>
            <w:tcW w:w="3584" w:type="dxa"/>
          </w:tcPr>
          <w:p w14:paraId="620EF9A9" w14:textId="77777777" w:rsidR="00A16D87" w:rsidRPr="002C6BD8" w:rsidRDefault="00A16D87" w:rsidP="00A16D87">
            <w:pPr>
              <w:pStyle w:val="Texto"/>
              <w:spacing w:after="0" w:line="240" w:lineRule="exact"/>
              <w:ind w:firstLine="0"/>
              <w:rPr>
                <w:szCs w:val="18"/>
                <w:lang w:val="es-MX"/>
              </w:rPr>
            </w:pPr>
            <w:r w:rsidRPr="002C6BD8">
              <w:rPr>
                <w:szCs w:val="18"/>
                <w:lang w:val="es-MX"/>
              </w:rPr>
              <w:t>Efectivo en Bancos –Tesorería</w:t>
            </w:r>
          </w:p>
        </w:tc>
        <w:tc>
          <w:tcPr>
            <w:tcW w:w="1798" w:type="dxa"/>
          </w:tcPr>
          <w:p w14:paraId="620EF9AA" w14:textId="25193C88" w:rsidR="00A16D87" w:rsidRPr="002C6BD8" w:rsidRDefault="00A16D87" w:rsidP="00A16D87">
            <w:pPr>
              <w:pStyle w:val="Texto"/>
              <w:spacing w:after="0" w:line="240" w:lineRule="exact"/>
              <w:ind w:firstLine="0"/>
              <w:jc w:val="right"/>
              <w:rPr>
                <w:szCs w:val="18"/>
                <w:lang w:val="es-MX"/>
              </w:rPr>
            </w:pPr>
            <w:r w:rsidRPr="005737CC">
              <w:rPr>
                <w:szCs w:val="18"/>
                <w:lang w:val="es-MX"/>
              </w:rPr>
              <w:t>83</w:t>
            </w:r>
            <w:r>
              <w:rPr>
                <w:szCs w:val="18"/>
                <w:lang w:val="es-MX"/>
              </w:rPr>
              <w:t>9</w:t>
            </w:r>
            <w:r w:rsidRPr="005737CC">
              <w:rPr>
                <w:szCs w:val="18"/>
                <w:lang w:val="es-MX"/>
              </w:rPr>
              <w:t>,</w:t>
            </w:r>
            <w:r>
              <w:rPr>
                <w:szCs w:val="18"/>
                <w:lang w:val="es-MX"/>
              </w:rPr>
              <w:t>176</w:t>
            </w:r>
            <w:r w:rsidRPr="005737CC">
              <w:rPr>
                <w:szCs w:val="18"/>
                <w:lang w:val="es-MX"/>
              </w:rPr>
              <w:t>,</w:t>
            </w:r>
            <w:r>
              <w:rPr>
                <w:szCs w:val="18"/>
                <w:lang w:val="es-MX"/>
              </w:rPr>
              <w:t>602</w:t>
            </w:r>
            <w:r w:rsidRPr="005737CC">
              <w:rPr>
                <w:szCs w:val="18"/>
                <w:lang w:val="es-MX"/>
              </w:rPr>
              <w:t>.</w:t>
            </w:r>
            <w:r>
              <w:rPr>
                <w:szCs w:val="18"/>
                <w:lang w:val="es-MX"/>
              </w:rPr>
              <w:t>43</w:t>
            </w:r>
          </w:p>
        </w:tc>
        <w:tc>
          <w:tcPr>
            <w:tcW w:w="1843" w:type="dxa"/>
          </w:tcPr>
          <w:p w14:paraId="620EF9AB" w14:textId="78E6468F" w:rsidR="00A16D87" w:rsidRPr="002C6BD8" w:rsidRDefault="00A16D87" w:rsidP="00A16D87">
            <w:pPr>
              <w:pStyle w:val="Texto"/>
              <w:spacing w:after="0" w:line="240" w:lineRule="exact"/>
              <w:ind w:firstLine="0"/>
              <w:jc w:val="right"/>
              <w:rPr>
                <w:szCs w:val="18"/>
                <w:lang w:val="es-MX"/>
              </w:rPr>
            </w:pPr>
            <w:r w:rsidRPr="005737CC">
              <w:rPr>
                <w:szCs w:val="18"/>
                <w:lang w:val="es-MX"/>
              </w:rPr>
              <w:t>836,054,828.25</w:t>
            </w:r>
          </w:p>
        </w:tc>
      </w:tr>
      <w:tr w:rsidR="00A16D87" w:rsidRPr="002C6BD8" w14:paraId="620EF9B0" w14:textId="77777777" w:rsidTr="00FF62DE">
        <w:trPr>
          <w:jc w:val="center"/>
        </w:trPr>
        <w:tc>
          <w:tcPr>
            <w:tcW w:w="3584" w:type="dxa"/>
          </w:tcPr>
          <w:p w14:paraId="620EF9AD" w14:textId="77777777" w:rsidR="00A16D87" w:rsidRPr="002C6BD8" w:rsidRDefault="00A16D87" w:rsidP="00A16D87">
            <w:pPr>
              <w:pStyle w:val="Texto"/>
              <w:spacing w:after="0" w:line="240" w:lineRule="exact"/>
              <w:ind w:firstLine="0"/>
              <w:rPr>
                <w:szCs w:val="18"/>
                <w:lang w:val="es-MX"/>
              </w:rPr>
            </w:pPr>
            <w:r w:rsidRPr="002C6BD8">
              <w:rPr>
                <w:szCs w:val="18"/>
                <w:lang w:val="es-MX"/>
              </w:rPr>
              <w:t>Efectivo en Bancos- Dependencias</w:t>
            </w:r>
          </w:p>
        </w:tc>
        <w:tc>
          <w:tcPr>
            <w:tcW w:w="1798" w:type="dxa"/>
          </w:tcPr>
          <w:p w14:paraId="620EF9AE" w14:textId="0C84ED35"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c>
          <w:tcPr>
            <w:tcW w:w="1843" w:type="dxa"/>
          </w:tcPr>
          <w:p w14:paraId="620EF9AF" w14:textId="3910909C"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r>
      <w:tr w:rsidR="00A16D87" w:rsidRPr="002C6BD8" w14:paraId="620EF9B4" w14:textId="77777777" w:rsidTr="00FF62DE">
        <w:trPr>
          <w:jc w:val="center"/>
        </w:trPr>
        <w:tc>
          <w:tcPr>
            <w:tcW w:w="3584" w:type="dxa"/>
          </w:tcPr>
          <w:p w14:paraId="620EF9B1" w14:textId="77777777" w:rsidR="00A16D87" w:rsidRPr="002C6BD8" w:rsidRDefault="00A16D87" w:rsidP="00A16D87">
            <w:pPr>
              <w:pStyle w:val="Texto"/>
              <w:spacing w:after="0" w:line="240" w:lineRule="exact"/>
              <w:ind w:firstLine="0"/>
              <w:rPr>
                <w:szCs w:val="18"/>
                <w:lang w:val="es-MX"/>
              </w:rPr>
            </w:pPr>
            <w:r w:rsidRPr="002C6BD8">
              <w:rPr>
                <w:szCs w:val="18"/>
                <w:lang w:val="es-MX"/>
              </w:rPr>
              <w:t xml:space="preserve">Inversiones temporales (hasta 3 meses) </w:t>
            </w:r>
          </w:p>
        </w:tc>
        <w:tc>
          <w:tcPr>
            <w:tcW w:w="1798" w:type="dxa"/>
          </w:tcPr>
          <w:p w14:paraId="620EF9B2" w14:textId="4DB07116"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c>
          <w:tcPr>
            <w:tcW w:w="1843" w:type="dxa"/>
          </w:tcPr>
          <w:p w14:paraId="620EF9B3" w14:textId="51812663"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r>
      <w:tr w:rsidR="00A16D87" w:rsidRPr="002C6BD8" w14:paraId="620EF9B8" w14:textId="77777777" w:rsidTr="00FF62DE">
        <w:trPr>
          <w:jc w:val="center"/>
        </w:trPr>
        <w:tc>
          <w:tcPr>
            <w:tcW w:w="3584" w:type="dxa"/>
          </w:tcPr>
          <w:p w14:paraId="620EF9B5" w14:textId="77777777" w:rsidR="00A16D87" w:rsidRPr="002C6BD8" w:rsidRDefault="00A16D87" w:rsidP="00A16D87">
            <w:pPr>
              <w:pStyle w:val="Texto"/>
              <w:spacing w:after="0" w:line="240" w:lineRule="exact"/>
              <w:ind w:firstLine="0"/>
              <w:rPr>
                <w:szCs w:val="18"/>
                <w:lang w:val="es-MX"/>
              </w:rPr>
            </w:pPr>
            <w:r w:rsidRPr="002C6BD8">
              <w:rPr>
                <w:szCs w:val="18"/>
                <w:lang w:val="es-MX"/>
              </w:rPr>
              <w:t>Fondos con afectación específica</w:t>
            </w:r>
          </w:p>
        </w:tc>
        <w:tc>
          <w:tcPr>
            <w:tcW w:w="1798" w:type="dxa"/>
          </w:tcPr>
          <w:p w14:paraId="620EF9B6" w14:textId="680DA095"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c>
          <w:tcPr>
            <w:tcW w:w="1843" w:type="dxa"/>
          </w:tcPr>
          <w:p w14:paraId="620EF9B7" w14:textId="454F4F7A"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r>
      <w:tr w:rsidR="00A16D87" w:rsidRPr="002C6BD8" w14:paraId="620EF9BC" w14:textId="77777777" w:rsidTr="00FF62DE">
        <w:trPr>
          <w:jc w:val="center"/>
        </w:trPr>
        <w:tc>
          <w:tcPr>
            <w:tcW w:w="3584" w:type="dxa"/>
          </w:tcPr>
          <w:p w14:paraId="620EF9B9" w14:textId="77777777" w:rsidR="00A16D87" w:rsidRPr="002C6BD8" w:rsidRDefault="00A16D87" w:rsidP="00A16D87">
            <w:pPr>
              <w:pStyle w:val="Texto"/>
              <w:spacing w:after="0" w:line="240" w:lineRule="exact"/>
              <w:ind w:firstLine="0"/>
              <w:rPr>
                <w:szCs w:val="18"/>
                <w:lang w:val="es-MX"/>
              </w:rPr>
            </w:pPr>
            <w:r w:rsidRPr="002C6BD8">
              <w:rPr>
                <w:szCs w:val="18"/>
                <w:lang w:val="es-MX"/>
              </w:rPr>
              <w:t>Depósitos de fondos de terceros y otros</w:t>
            </w:r>
          </w:p>
        </w:tc>
        <w:tc>
          <w:tcPr>
            <w:tcW w:w="1798" w:type="dxa"/>
          </w:tcPr>
          <w:p w14:paraId="620EF9BA" w14:textId="55064BE6"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c>
          <w:tcPr>
            <w:tcW w:w="1843" w:type="dxa"/>
          </w:tcPr>
          <w:p w14:paraId="620EF9BB" w14:textId="7E767285" w:rsidR="00A16D87" w:rsidRPr="002C6BD8" w:rsidRDefault="00A16D87" w:rsidP="00A16D87">
            <w:pPr>
              <w:pStyle w:val="Texto"/>
              <w:spacing w:after="0" w:line="240" w:lineRule="exact"/>
              <w:ind w:firstLine="0"/>
              <w:jc w:val="right"/>
              <w:rPr>
                <w:szCs w:val="18"/>
                <w:lang w:val="es-MX"/>
              </w:rPr>
            </w:pPr>
            <w:r w:rsidRPr="00116688">
              <w:rPr>
                <w:szCs w:val="18"/>
                <w:lang w:val="es-MX"/>
              </w:rPr>
              <w:t>0.00</w:t>
            </w:r>
          </w:p>
        </w:tc>
      </w:tr>
      <w:tr w:rsidR="00A16D87" w:rsidRPr="002E38A5" w14:paraId="620EF9C0" w14:textId="77777777" w:rsidTr="00FF62DE">
        <w:trPr>
          <w:jc w:val="center"/>
        </w:trPr>
        <w:tc>
          <w:tcPr>
            <w:tcW w:w="3584" w:type="dxa"/>
          </w:tcPr>
          <w:p w14:paraId="620EF9BD" w14:textId="77777777" w:rsidR="00A16D87" w:rsidRPr="002E38A5" w:rsidRDefault="00A16D87" w:rsidP="00A16D87">
            <w:pPr>
              <w:pStyle w:val="Texto"/>
              <w:spacing w:after="0" w:line="240" w:lineRule="exact"/>
              <w:ind w:firstLine="0"/>
              <w:rPr>
                <w:b/>
                <w:szCs w:val="18"/>
                <w:lang w:val="es-MX"/>
              </w:rPr>
            </w:pPr>
            <w:r w:rsidRPr="002E38A5">
              <w:rPr>
                <w:b/>
                <w:szCs w:val="18"/>
                <w:lang w:val="es-MX"/>
              </w:rPr>
              <w:t>Total de Efectivo y Equivalentes</w:t>
            </w:r>
          </w:p>
        </w:tc>
        <w:tc>
          <w:tcPr>
            <w:tcW w:w="1798" w:type="dxa"/>
          </w:tcPr>
          <w:p w14:paraId="620EF9BE" w14:textId="24576F95" w:rsidR="00A16D87" w:rsidRPr="002E38A5" w:rsidRDefault="00A16D87" w:rsidP="00A16D87">
            <w:pPr>
              <w:pStyle w:val="Texto"/>
              <w:spacing w:after="0" w:line="240" w:lineRule="exact"/>
              <w:ind w:firstLine="0"/>
              <w:jc w:val="right"/>
              <w:rPr>
                <w:b/>
                <w:szCs w:val="18"/>
                <w:lang w:val="es-MX"/>
              </w:rPr>
            </w:pPr>
            <w:r>
              <w:rPr>
                <w:b/>
                <w:szCs w:val="18"/>
                <w:lang w:val="es-MX"/>
              </w:rPr>
              <w:t>839,176,602.43</w:t>
            </w:r>
          </w:p>
        </w:tc>
        <w:tc>
          <w:tcPr>
            <w:tcW w:w="1843" w:type="dxa"/>
          </w:tcPr>
          <w:p w14:paraId="620EF9BF" w14:textId="236CA550" w:rsidR="00A16D87" w:rsidRPr="002E38A5" w:rsidRDefault="00A16D87" w:rsidP="00A16D87">
            <w:pPr>
              <w:pStyle w:val="Texto"/>
              <w:spacing w:after="0" w:line="240" w:lineRule="exact"/>
              <w:ind w:firstLine="0"/>
              <w:jc w:val="right"/>
              <w:rPr>
                <w:b/>
                <w:szCs w:val="18"/>
                <w:lang w:val="es-MX"/>
              </w:rPr>
            </w:pPr>
            <w:r w:rsidRPr="002E38A5">
              <w:rPr>
                <w:b/>
                <w:szCs w:val="18"/>
                <w:lang w:val="es-MX"/>
              </w:rPr>
              <w:t>836,054,828.25</w:t>
            </w:r>
          </w:p>
        </w:tc>
      </w:tr>
    </w:tbl>
    <w:p w14:paraId="79859485" w14:textId="77777777" w:rsidR="00082C0D" w:rsidRDefault="00082C0D" w:rsidP="00082C0D">
      <w:pPr>
        <w:pStyle w:val="ROMANOS"/>
        <w:tabs>
          <w:tab w:val="clear" w:pos="720"/>
          <w:tab w:val="left" w:pos="288"/>
        </w:tabs>
        <w:spacing w:after="0" w:line="240" w:lineRule="exact"/>
        <w:ind w:left="0" w:firstLine="0"/>
        <w:rPr>
          <w:lang w:val="es-MX"/>
        </w:rPr>
      </w:pPr>
    </w:p>
    <w:p w14:paraId="0CA52F32" w14:textId="77777777" w:rsidR="00565193" w:rsidRDefault="00565193" w:rsidP="00AC7F8A">
      <w:pPr>
        <w:pStyle w:val="ROMANOS"/>
        <w:tabs>
          <w:tab w:val="clear" w:pos="720"/>
          <w:tab w:val="left" w:pos="288"/>
        </w:tabs>
        <w:spacing w:after="0" w:line="240" w:lineRule="exact"/>
        <w:ind w:left="284" w:firstLine="4"/>
        <w:rPr>
          <w:lang w:val="es-MX"/>
        </w:rPr>
      </w:pPr>
    </w:p>
    <w:p w14:paraId="206F116B" w14:textId="2EDBED30" w:rsidR="00672F24" w:rsidRDefault="00672F24" w:rsidP="00AC7F8A">
      <w:pPr>
        <w:pStyle w:val="ROMANOS"/>
        <w:tabs>
          <w:tab w:val="clear" w:pos="720"/>
          <w:tab w:val="left" w:pos="288"/>
        </w:tabs>
        <w:spacing w:after="0" w:line="240" w:lineRule="exact"/>
        <w:ind w:left="284" w:firstLine="4"/>
        <w:rPr>
          <w:lang w:val="es-MX"/>
        </w:rPr>
      </w:pPr>
      <w:r>
        <w:rPr>
          <w:lang w:val="es-MX"/>
        </w:rPr>
        <w:t>Durante el presente</w:t>
      </w:r>
      <w:r w:rsidR="0004354B">
        <w:rPr>
          <w:lang w:val="es-MX"/>
        </w:rPr>
        <w:t xml:space="preserve"> ejercicio, </w:t>
      </w:r>
      <w:r w:rsidR="0004354B" w:rsidRPr="009A5967">
        <w:rPr>
          <w:lang w:val="es-MX"/>
        </w:rPr>
        <w:t xml:space="preserve">la </w:t>
      </w:r>
      <w:r w:rsidR="0004354B" w:rsidRPr="009A5967">
        <w:t>Secretaría de Salud y O.P.D. Salud de Tlaxcala</w:t>
      </w:r>
      <w:r w:rsidR="00082C0D">
        <w:t>,</w:t>
      </w:r>
      <w:r w:rsidR="00591D51">
        <w:t xml:space="preserve"> contin</w:t>
      </w:r>
      <w:r w:rsidR="002E38A5">
        <w:t>ú</w:t>
      </w:r>
      <w:r w:rsidR="00591D51">
        <w:t xml:space="preserve">a </w:t>
      </w:r>
      <w:r w:rsidR="00507531">
        <w:t>con la construcción de la sustitución por obra nueva del Hospital General de Tlaxcala y</w:t>
      </w:r>
      <w:r w:rsidR="0004354B">
        <w:rPr>
          <w:lang w:val="es-MX"/>
        </w:rPr>
        <w:t xml:space="preserve"> </w:t>
      </w:r>
      <w:r w:rsidR="002E38A5">
        <w:rPr>
          <w:lang w:val="es-MX"/>
        </w:rPr>
        <w:t>se realizaron</w:t>
      </w:r>
      <w:r>
        <w:rPr>
          <w:lang w:val="es-MX"/>
        </w:rPr>
        <w:t xml:space="preserve"> las siguientes adquisiciones de activo</w:t>
      </w:r>
      <w:r w:rsidR="005B3F10">
        <w:rPr>
          <w:lang w:val="es-MX"/>
        </w:rPr>
        <w:t>:</w:t>
      </w:r>
    </w:p>
    <w:p w14:paraId="5E508BB6" w14:textId="77777777" w:rsidR="00672F24" w:rsidRDefault="00672F24" w:rsidP="00AC7F8A">
      <w:pPr>
        <w:pStyle w:val="ROMANOS"/>
        <w:tabs>
          <w:tab w:val="clear" w:pos="720"/>
          <w:tab w:val="left" w:pos="288"/>
        </w:tabs>
        <w:spacing w:after="0" w:line="240" w:lineRule="exact"/>
        <w:ind w:left="284" w:firstLine="4"/>
        <w:rPr>
          <w:lang w:val="es-MX"/>
        </w:rPr>
      </w:pPr>
    </w:p>
    <w:tbl>
      <w:tblPr>
        <w:tblW w:w="6160" w:type="dxa"/>
        <w:jc w:val="center"/>
        <w:tblCellMar>
          <w:left w:w="70" w:type="dxa"/>
          <w:right w:w="70" w:type="dxa"/>
        </w:tblCellMar>
        <w:tblLook w:val="04A0" w:firstRow="1" w:lastRow="0" w:firstColumn="1" w:lastColumn="0" w:noHBand="0" w:noVBand="1"/>
      </w:tblPr>
      <w:tblGrid>
        <w:gridCol w:w="4768"/>
        <w:gridCol w:w="1392"/>
      </w:tblGrid>
      <w:tr w:rsidR="001C21BB" w:rsidRPr="00A16D87" w14:paraId="54F96B0E" w14:textId="77777777" w:rsidTr="00A16D87">
        <w:trPr>
          <w:trHeight w:val="175"/>
          <w:jc w:val="center"/>
        </w:trPr>
        <w:tc>
          <w:tcPr>
            <w:tcW w:w="4768" w:type="dxa"/>
            <w:tcBorders>
              <w:top w:val="single" w:sz="4" w:space="0" w:color="000000"/>
              <w:left w:val="single" w:sz="4" w:space="0" w:color="000000"/>
              <w:bottom w:val="single" w:sz="4" w:space="0" w:color="000000"/>
              <w:right w:val="single" w:sz="4" w:space="0" w:color="000000"/>
            </w:tcBorders>
            <w:shd w:val="clear" w:color="auto" w:fill="auto"/>
          </w:tcPr>
          <w:p w14:paraId="45EA7562" w14:textId="0FB67172" w:rsidR="001C21BB" w:rsidRPr="00A16D87" w:rsidRDefault="001C21BB" w:rsidP="007E57C4">
            <w:pPr>
              <w:spacing w:after="0" w:line="240" w:lineRule="auto"/>
              <w:rPr>
                <w:rFonts w:ascii="Arial" w:eastAsia="Times New Roman" w:hAnsi="Arial" w:cs="Arial"/>
                <w:color w:val="000000"/>
                <w:sz w:val="18"/>
                <w:szCs w:val="18"/>
                <w:lang w:eastAsia="es-MX"/>
              </w:rPr>
            </w:pPr>
            <w:r w:rsidRPr="00A16D87">
              <w:rPr>
                <w:rFonts w:ascii="Arial" w:eastAsia="Times New Roman" w:hAnsi="Arial" w:cs="Arial"/>
                <w:color w:val="000000"/>
                <w:sz w:val="18"/>
                <w:szCs w:val="18"/>
                <w:lang w:eastAsia="es-MX"/>
              </w:rPr>
              <w:t>Descripción</w:t>
            </w:r>
          </w:p>
        </w:tc>
        <w:tc>
          <w:tcPr>
            <w:tcW w:w="1392" w:type="dxa"/>
            <w:tcBorders>
              <w:top w:val="single" w:sz="4" w:space="0" w:color="000000"/>
              <w:left w:val="nil"/>
              <w:bottom w:val="single" w:sz="4" w:space="0" w:color="auto"/>
              <w:right w:val="single" w:sz="4" w:space="0" w:color="000000"/>
            </w:tcBorders>
            <w:shd w:val="clear" w:color="auto" w:fill="auto"/>
          </w:tcPr>
          <w:p w14:paraId="4EA61827" w14:textId="28D9B3D7" w:rsidR="001C21BB" w:rsidRPr="00A16D87" w:rsidRDefault="001C21BB" w:rsidP="00C71B08">
            <w:pPr>
              <w:spacing w:after="0" w:line="240" w:lineRule="auto"/>
              <w:jc w:val="center"/>
              <w:rPr>
                <w:rFonts w:ascii="Arial" w:eastAsia="Times New Roman" w:hAnsi="Arial" w:cs="Arial"/>
                <w:color w:val="000000"/>
                <w:sz w:val="18"/>
                <w:szCs w:val="18"/>
                <w:lang w:eastAsia="es-MX"/>
              </w:rPr>
            </w:pPr>
            <w:r w:rsidRPr="00A16D87">
              <w:rPr>
                <w:rFonts w:ascii="Arial" w:eastAsia="Times New Roman" w:hAnsi="Arial" w:cs="Arial"/>
                <w:color w:val="000000"/>
                <w:sz w:val="18"/>
                <w:szCs w:val="18"/>
                <w:lang w:eastAsia="es-MX"/>
              </w:rPr>
              <w:t>Importe</w:t>
            </w:r>
          </w:p>
        </w:tc>
      </w:tr>
      <w:tr w:rsidR="00565193" w:rsidRPr="00A16D87" w14:paraId="2556A397" w14:textId="77777777" w:rsidTr="00A16D87">
        <w:trPr>
          <w:trHeight w:val="175"/>
          <w:jc w:val="center"/>
        </w:trPr>
        <w:tc>
          <w:tcPr>
            <w:tcW w:w="4768" w:type="dxa"/>
            <w:tcBorders>
              <w:top w:val="single" w:sz="4" w:space="0" w:color="000000"/>
              <w:left w:val="single" w:sz="4" w:space="0" w:color="000000"/>
              <w:bottom w:val="single" w:sz="4" w:space="0" w:color="000000"/>
              <w:right w:val="single" w:sz="4" w:space="0" w:color="auto"/>
            </w:tcBorders>
            <w:shd w:val="clear" w:color="auto" w:fill="auto"/>
          </w:tcPr>
          <w:p w14:paraId="7FB0408D" w14:textId="2799F6BD" w:rsidR="00565193" w:rsidRPr="00A16D87" w:rsidRDefault="00565193" w:rsidP="00565193">
            <w:pPr>
              <w:spacing w:after="0" w:line="240" w:lineRule="auto"/>
              <w:rPr>
                <w:rFonts w:ascii="Arial" w:eastAsia="Times New Roman" w:hAnsi="Arial" w:cs="Arial"/>
                <w:color w:val="000000"/>
                <w:sz w:val="18"/>
                <w:szCs w:val="18"/>
                <w:lang w:eastAsia="es-MX"/>
              </w:rPr>
            </w:pPr>
            <w:r w:rsidRPr="00A16D87">
              <w:rPr>
                <w:rFonts w:ascii="Arial" w:eastAsia="Times New Roman" w:hAnsi="Arial" w:cs="Arial"/>
                <w:color w:val="000000"/>
                <w:sz w:val="18"/>
                <w:szCs w:val="18"/>
                <w:lang w:eastAsia="es-MX"/>
              </w:rPr>
              <w:t>Construcciones en Proceso en Bienes Propios, (</w:t>
            </w:r>
            <w:r w:rsidRPr="00A16D87">
              <w:rPr>
                <w:rFonts w:ascii="Arial" w:hAnsi="Arial" w:cs="Arial"/>
                <w:sz w:val="18"/>
                <w:szCs w:val="18"/>
              </w:rPr>
              <w:t>FPGC Sustitución de Obra al Hospital General de Tlaxcala.)</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27A94F5E" w14:textId="02BF8A67" w:rsidR="00565193" w:rsidRPr="00A16D87" w:rsidRDefault="00A16D87" w:rsidP="00565193">
            <w:pPr>
              <w:spacing w:after="0" w:line="240" w:lineRule="auto"/>
              <w:jc w:val="right"/>
              <w:rPr>
                <w:rFonts w:ascii="Arial" w:eastAsia="Times New Roman" w:hAnsi="Arial" w:cs="Arial"/>
                <w:noProof/>
                <w:color w:val="000000"/>
                <w:sz w:val="18"/>
                <w:szCs w:val="18"/>
                <w:lang w:eastAsia="es-MX"/>
              </w:rPr>
            </w:pPr>
            <w:r w:rsidRPr="00A16D87">
              <w:rPr>
                <w:rFonts w:ascii="Arial" w:eastAsia="Times New Roman" w:hAnsi="Arial" w:cs="Arial"/>
                <w:noProof/>
                <w:color w:val="000000"/>
                <w:sz w:val="18"/>
                <w:szCs w:val="18"/>
                <w:lang w:eastAsia="es-MX"/>
              </w:rPr>
              <w:t>28,084,984.65</w:t>
            </w:r>
          </w:p>
        </w:tc>
      </w:tr>
      <w:tr w:rsidR="00A16D87" w:rsidRPr="00A16D87" w14:paraId="13BFC637" w14:textId="77777777" w:rsidTr="00A16D87">
        <w:trPr>
          <w:trHeight w:val="285"/>
          <w:jc w:val="center"/>
        </w:trPr>
        <w:tc>
          <w:tcPr>
            <w:tcW w:w="4768" w:type="dxa"/>
            <w:tcBorders>
              <w:top w:val="single" w:sz="4" w:space="0" w:color="000000"/>
              <w:left w:val="single" w:sz="4" w:space="0" w:color="000000"/>
              <w:bottom w:val="single" w:sz="4" w:space="0" w:color="000000"/>
              <w:right w:val="single" w:sz="4" w:space="0" w:color="auto"/>
            </w:tcBorders>
            <w:shd w:val="clear" w:color="auto" w:fill="auto"/>
            <w:hideMark/>
          </w:tcPr>
          <w:p w14:paraId="35553DA9" w14:textId="2E663C6D" w:rsidR="00A16D87" w:rsidRPr="00A16D87" w:rsidRDefault="00A16D87" w:rsidP="00A16D87">
            <w:pPr>
              <w:spacing w:after="0" w:line="240" w:lineRule="auto"/>
              <w:rPr>
                <w:rFonts w:ascii="Arial" w:eastAsia="Times New Roman" w:hAnsi="Arial" w:cs="Arial"/>
                <w:color w:val="000000"/>
                <w:sz w:val="18"/>
                <w:szCs w:val="18"/>
                <w:lang w:eastAsia="es-MX"/>
              </w:rPr>
            </w:pPr>
            <w:r w:rsidRPr="00A16D87">
              <w:rPr>
                <w:rFonts w:ascii="Arial" w:eastAsia="Times New Roman" w:hAnsi="Arial" w:cs="Arial"/>
                <w:color w:val="000000"/>
                <w:sz w:val="18"/>
                <w:szCs w:val="18"/>
                <w:lang w:eastAsia="es-MX"/>
              </w:rPr>
              <w:t>Mobiliario y equipo de administración</w:t>
            </w:r>
          </w:p>
        </w:tc>
        <w:tc>
          <w:tcPr>
            <w:tcW w:w="1392" w:type="dxa"/>
            <w:tcBorders>
              <w:top w:val="single" w:sz="4" w:space="0" w:color="auto"/>
              <w:left w:val="single" w:sz="4" w:space="0" w:color="auto"/>
              <w:bottom w:val="single" w:sz="4" w:space="0" w:color="auto"/>
              <w:right w:val="single" w:sz="4" w:space="0" w:color="auto"/>
            </w:tcBorders>
            <w:shd w:val="clear" w:color="auto" w:fill="auto"/>
            <w:hideMark/>
          </w:tcPr>
          <w:p w14:paraId="0F74ED49" w14:textId="4B1FA677" w:rsidR="00A16D87" w:rsidRPr="00A16D87" w:rsidRDefault="00A16D87" w:rsidP="00A16D87">
            <w:pPr>
              <w:spacing w:after="0" w:line="240" w:lineRule="auto"/>
              <w:jc w:val="right"/>
              <w:rPr>
                <w:rFonts w:ascii="Arial" w:eastAsia="Times New Roman" w:hAnsi="Arial" w:cs="Arial"/>
                <w:noProof/>
                <w:color w:val="000000"/>
                <w:sz w:val="18"/>
                <w:szCs w:val="18"/>
                <w:lang w:eastAsia="es-MX"/>
              </w:rPr>
            </w:pPr>
            <w:r w:rsidRPr="00A16D87">
              <w:rPr>
                <w:rFonts w:ascii="Arial" w:hAnsi="Arial" w:cs="Arial"/>
                <w:sz w:val="18"/>
                <w:szCs w:val="18"/>
              </w:rPr>
              <w:t>0</w:t>
            </w:r>
            <w:r>
              <w:rPr>
                <w:rFonts w:ascii="Arial" w:hAnsi="Arial" w:cs="Arial"/>
                <w:sz w:val="18"/>
                <w:szCs w:val="18"/>
              </w:rPr>
              <w:t>.00</w:t>
            </w:r>
          </w:p>
        </w:tc>
      </w:tr>
      <w:tr w:rsidR="00A16D87" w:rsidRPr="00A16D87" w14:paraId="11A6F3BC" w14:textId="77777777" w:rsidTr="00A16D87">
        <w:trPr>
          <w:trHeight w:val="285"/>
          <w:jc w:val="center"/>
        </w:trPr>
        <w:tc>
          <w:tcPr>
            <w:tcW w:w="4768" w:type="dxa"/>
            <w:tcBorders>
              <w:top w:val="single" w:sz="4" w:space="0" w:color="000000"/>
              <w:left w:val="single" w:sz="4" w:space="0" w:color="000000"/>
              <w:bottom w:val="single" w:sz="4" w:space="0" w:color="000000"/>
              <w:right w:val="single" w:sz="4" w:space="0" w:color="auto"/>
            </w:tcBorders>
            <w:shd w:val="clear" w:color="auto" w:fill="auto"/>
          </w:tcPr>
          <w:p w14:paraId="7BC9B67D" w14:textId="2E32BAA3" w:rsidR="00A16D87" w:rsidRPr="00A16D87" w:rsidRDefault="00A16D87" w:rsidP="00A16D87">
            <w:pPr>
              <w:spacing w:after="0" w:line="240" w:lineRule="auto"/>
              <w:rPr>
                <w:rFonts w:ascii="Arial" w:eastAsia="Times New Roman" w:hAnsi="Arial" w:cs="Arial"/>
                <w:color w:val="000000"/>
                <w:sz w:val="18"/>
                <w:szCs w:val="18"/>
                <w:lang w:eastAsia="es-MX"/>
              </w:rPr>
            </w:pPr>
            <w:r w:rsidRPr="00A16D87">
              <w:rPr>
                <w:rFonts w:ascii="Arial" w:eastAsia="Times New Roman" w:hAnsi="Arial" w:cs="Arial"/>
                <w:color w:val="000000"/>
                <w:sz w:val="18"/>
                <w:szCs w:val="18"/>
                <w:lang w:eastAsia="es-MX"/>
              </w:rPr>
              <w:t>Mobiliario y Equipo Educacional y Recreativo</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046AD62B" w14:textId="1841F1FC" w:rsidR="00A16D87" w:rsidRPr="00A16D87" w:rsidRDefault="00A16D87" w:rsidP="00A16D87">
            <w:pPr>
              <w:spacing w:after="0" w:line="240" w:lineRule="auto"/>
              <w:jc w:val="right"/>
              <w:rPr>
                <w:rFonts w:ascii="Arial" w:eastAsia="Times New Roman" w:hAnsi="Arial" w:cs="Arial"/>
                <w:noProof/>
                <w:color w:val="000000"/>
                <w:sz w:val="18"/>
                <w:szCs w:val="18"/>
                <w:lang w:eastAsia="es-MX"/>
              </w:rPr>
            </w:pPr>
            <w:r w:rsidRPr="00A16D87">
              <w:rPr>
                <w:rFonts w:ascii="Arial" w:hAnsi="Arial" w:cs="Arial"/>
                <w:sz w:val="18"/>
                <w:szCs w:val="18"/>
              </w:rPr>
              <w:t>0</w:t>
            </w:r>
            <w:r>
              <w:rPr>
                <w:rFonts w:ascii="Arial" w:hAnsi="Arial" w:cs="Arial"/>
                <w:sz w:val="18"/>
                <w:szCs w:val="18"/>
              </w:rPr>
              <w:t>.00</w:t>
            </w:r>
          </w:p>
        </w:tc>
      </w:tr>
      <w:tr w:rsidR="00A16D87" w:rsidRPr="00A16D87" w14:paraId="1A37BD35" w14:textId="77777777" w:rsidTr="00A16D87">
        <w:trPr>
          <w:trHeight w:val="285"/>
          <w:jc w:val="center"/>
        </w:trPr>
        <w:tc>
          <w:tcPr>
            <w:tcW w:w="4768" w:type="dxa"/>
            <w:tcBorders>
              <w:top w:val="single" w:sz="4" w:space="0" w:color="000000"/>
              <w:left w:val="single" w:sz="4" w:space="0" w:color="000000"/>
              <w:bottom w:val="single" w:sz="4" w:space="0" w:color="000000"/>
              <w:right w:val="single" w:sz="4" w:space="0" w:color="auto"/>
            </w:tcBorders>
            <w:shd w:val="clear" w:color="auto" w:fill="auto"/>
          </w:tcPr>
          <w:p w14:paraId="50FDA25B" w14:textId="3733B090" w:rsidR="00A16D87" w:rsidRPr="00A16D87" w:rsidRDefault="00A16D87" w:rsidP="00A16D87">
            <w:pPr>
              <w:spacing w:after="0" w:line="240" w:lineRule="auto"/>
              <w:rPr>
                <w:rFonts w:ascii="Arial" w:eastAsia="Times New Roman" w:hAnsi="Arial" w:cs="Arial"/>
                <w:color w:val="000000"/>
                <w:sz w:val="18"/>
                <w:szCs w:val="18"/>
                <w:lang w:eastAsia="es-MX"/>
              </w:rPr>
            </w:pPr>
            <w:r w:rsidRPr="00A16D87">
              <w:rPr>
                <w:rFonts w:ascii="Arial" w:eastAsia="Times New Roman" w:hAnsi="Arial" w:cs="Arial"/>
                <w:color w:val="000000"/>
                <w:sz w:val="18"/>
                <w:szCs w:val="18"/>
                <w:lang w:eastAsia="es-MX"/>
              </w:rPr>
              <w:t>Equipo e instrumental médico y de laboratorio</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2D4A65FF" w14:textId="3A4E52C0" w:rsidR="00A16D87" w:rsidRPr="00A16D87" w:rsidRDefault="00A16D87" w:rsidP="00A16D87">
            <w:pPr>
              <w:spacing w:after="0" w:line="240" w:lineRule="auto"/>
              <w:jc w:val="right"/>
              <w:rPr>
                <w:rFonts w:ascii="Arial" w:eastAsia="Times New Roman" w:hAnsi="Arial" w:cs="Arial"/>
                <w:noProof/>
                <w:color w:val="000000"/>
                <w:sz w:val="18"/>
                <w:szCs w:val="18"/>
                <w:lang w:eastAsia="es-MX"/>
              </w:rPr>
            </w:pPr>
            <w:r w:rsidRPr="00A16D87">
              <w:rPr>
                <w:rFonts w:ascii="Arial" w:hAnsi="Arial" w:cs="Arial"/>
                <w:sz w:val="18"/>
                <w:szCs w:val="18"/>
              </w:rPr>
              <w:t>624,999.88</w:t>
            </w:r>
          </w:p>
        </w:tc>
      </w:tr>
      <w:tr w:rsidR="00A16D87" w:rsidRPr="00A16D87" w14:paraId="64A628BA" w14:textId="77777777" w:rsidTr="00A16D87">
        <w:trPr>
          <w:trHeight w:val="285"/>
          <w:jc w:val="center"/>
        </w:trPr>
        <w:tc>
          <w:tcPr>
            <w:tcW w:w="4768" w:type="dxa"/>
            <w:tcBorders>
              <w:top w:val="single" w:sz="4" w:space="0" w:color="000000"/>
              <w:left w:val="single" w:sz="4" w:space="0" w:color="000000"/>
              <w:bottom w:val="single" w:sz="4" w:space="0" w:color="000000"/>
              <w:right w:val="single" w:sz="4" w:space="0" w:color="auto"/>
            </w:tcBorders>
            <w:shd w:val="clear" w:color="auto" w:fill="auto"/>
          </w:tcPr>
          <w:p w14:paraId="7EF18473" w14:textId="4C5C651F" w:rsidR="00A16D87" w:rsidRPr="00A16D87" w:rsidRDefault="00A16D87" w:rsidP="00A16D87">
            <w:pPr>
              <w:spacing w:after="0" w:line="240" w:lineRule="auto"/>
              <w:rPr>
                <w:rFonts w:ascii="Arial" w:eastAsia="Times New Roman" w:hAnsi="Arial" w:cs="Arial"/>
                <w:color w:val="000000"/>
                <w:sz w:val="18"/>
                <w:szCs w:val="18"/>
                <w:lang w:eastAsia="es-MX"/>
              </w:rPr>
            </w:pPr>
            <w:r w:rsidRPr="00A16D87">
              <w:rPr>
                <w:rFonts w:ascii="Arial" w:eastAsia="Times New Roman" w:hAnsi="Arial" w:cs="Arial"/>
                <w:color w:val="000000"/>
                <w:sz w:val="18"/>
                <w:szCs w:val="18"/>
                <w:lang w:eastAsia="es-MX"/>
              </w:rPr>
              <w:t>Vehículos y Equipo de Transporte</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12731981" w14:textId="34ED005A" w:rsidR="00A16D87" w:rsidRPr="00A16D87" w:rsidRDefault="00A16D87" w:rsidP="00A16D87">
            <w:pPr>
              <w:spacing w:after="0" w:line="240" w:lineRule="auto"/>
              <w:jc w:val="right"/>
              <w:rPr>
                <w:rFonts w:ascii="Arial" w:eastAsia="Times New Roman" w:hAnsi="Arial" w:cs="Arial"/>
                <w:noProof/>
                <w:color w:val="000000"/>
                <w:sz w:val="18"/>
                <w:szCs w:val="18"/>
                <w:lang w:eastAsia="es-MX"/>
              </w:rPr>
            </w:pPr>
            <w:r w:rsidRPr="00A16D87">
              <w:rPr>
                <w:rFonts w:ascii="Arial" w:hAnsi="Arial" w:cs="Arial"/>
                <w:sz w:val="18"/>
                <w:szCs w:val="18"/>
              </w:rPr>
              <w:t>0</w:t>
            </w:r>
            <w:r>
              <w:rPr>
                <w:rFonts w:ascii="Arial" w:hAnsi="Arial" w:cs="Arial"/>
                <w:sz w:val="18"/>
                <w:szCs w:val="18"/>
              </w:rPr>
              <w:t>.00</w:t>
            </w:r>
          </w:p>
        </w:tc>
      </w:tr>
      <w:tr w:rsidR="00A16D87" w:rsidRPr="00A16D87" w14:paraId="345E1504" w14:textId="77777777" w:rsidTr="00A16D87">
        <w:trPr>
          <w:trHeight w:val="285"/>
          <w:jc w:val="center"/>
        </w:trPr>
        <w:tc>
          <w:tcPr>
            <w:tcW w:w="4768" w:type="dxa"/>
            <w:tcBorders>
              <w:top w:val="single" w:sz="4" w:space="0" w:color="000000"/>
              <w:left w:val="single" w:sz="4" w:space="0" w:color="000000"/>
              <w:bottom w:val="single" w:sz="4" w:space="0" w:color="000000"/>
              <w:right w:val="single" w:sz="4" w:space="0" w:color="auto"/>
            </w:tcBorders>
            <w:shd w:val="clear" w:color="auto" w:fill="auto"/>
          </w:tcPr>
          <w:p w14:paraId="1486EA73" w14:textId="71C05AAF" w:rsidR="00A16D87" w:rsidRPr="00A16D87" w:rsidRDefault="00A16D87" w:rsidP="00A16D87">
            <w:pPr>
              <w:spacing w:after="0" w:line="240" w:lineRule="auto"/>
              <w:rPr>
                <w:rFonts w:ascii="Arial" w:eastAsia="Times New Roman" w:hAnsi="Arial" w:cs="Arial"/>
                <w:color w:val="000000"/>
                <w:sz w:val="18"/>
                <w:szCs w:val="18"/>
                <w:lang w:eastAsia="es-MX"/>
              </w:rPr>
            </w:pPr>
            <w:r w:rsidRPr="00A16D87">
              <w:rPr>
                <w:rFonts w:ascii="Arial" w:eastAsia="Times New Roman" w:hAnsi="Arial" w:cs="Arial"/>
                <w:color w:val="000000"/>
                <w:sz w:val="18"/>
                <w:szCs w:val="18"/>
                <w:lang w:eastAsia="es-MX"/>
              </w:rPr>
              <w:t>Maquinaria, otros equipos y herramientas</w:t>
            </w: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16DCEC33" w14:textId="23E8B8F4" w:rsidR="00A16D87" w:rsidRPr="00A16D87" w:rsidRDefault="00A16D87" w:rsidP="00A16D87">
            <w:pPr>
              <w:spacing w:after="0" w:line="240" w:lineRule="auto"/>
              <w:jc w:val="right"/>
              <w:rPr>
                <w:rFonts w:ascii="Arial" w:eastAsia="Times New Roman" w:hAnsi="Arial" w:cs="Arial"/>
                <w:noProof/>
                <w:color w:val="000000"/>
                <w:sz w:val="18"/>
                <w:szCs w:val="18"/>
                <w:lang w:eastAsia="es-MX"/>
              </w:rPr>
            </w:pPr>
            <w:r w:rsidRPr="00A16D87">
              <w:rPr>
                <w:rFonts w:ascii="Arial" w:hAnsi="Arial" w:cs="Arial"/>
                <w:sz w:val="18"/>
                <w:szCs w:val="18"/>
              </w:rPr>
              <w:t>15,660.00</w:t>
            </w:r>
          </w:p>
        </w:tc>
      </w:tr>
      <w:tr w:rsidR="00565193" w:rsidRPr="00A16D87" w14:paraId="61FA41E6" w14:textId="77777777" w:rsidTr="00A16D87">
        <w:trPr>
          <w:trHeight w:val="285"/>
          <w:jc w:val="center"/>
        </w:trPr>
        <w:tc>
          <w:tcPr>
            <w:tcW w:w="4768" w:type="dxa"/>
            <w:tcBorders>
              <w:top w:val="single" w:sz="4" w:space="0" w:color="000000"/>
              <w:left w:val="single" w:sz="4" w:space="0" w:color="000000"/>
              <w:bottom w:val="single" w:sz="4" w:space="0" w:color="000000"/>
              <w:right w:val="single" w:sz="4" w:space="0" w:color="000000"/>
            </w:tcBorders>
            <w:shd w:val="clear" w:color="auto" w:fill="auto"/>
          </w:tcPr>
          <w:p w14:paraId="6A24E695" w14:textId="300BA785" w:rsidR="00565193" w:rsidRPr="00A16D87" w:rsidRDefault="00565193" w:rsidP="00565193">
            <w:pPr>
              <w:spacing w:after="0" w:line="240" w:lineRule="auto"/>
              <w:rPr>
                <w:rFonts w:ascii="Arial" w:eastAsia="Times New Roman" w:hAnsi="Arial" w:cs="Arial"/>
                <w:b/>
                <w:color w:val="000000"/>
                <w:sz w:val="18"/>
                <w:szCs w:val="18"/>
                <w:lang w:eastAsia="es-MX"/>
              </w:rPr>
            </w:pPr>
            <w:r w:rsidRPr="00A16D87">
              <w:rPr>
                <w:rFonts w:ascii="Arial" w:eastAsia="Times New Roman" w:hAnsi="Arial" w:cs="Arial"/>
                <w:b/>
                <w:color w:val="000000"/>
                <w:sz w:val="18"/>
                <w:szCs w:val="18"/>
                <w:lang w:eastAsia="es-MX"/>
              </w:rPr>
              <w:t>Suma</w:t>
            </w:r>
          </w:p>
        </w:tc>
        <w:tc>
          <w:tcPr>
            <w:tcW w:w="1392" w:type="dxa"/>
            <w:tcBorders>
              <w:top w:val="single" w:sz="4" w:space="0" w:color="auto"/>
              <w:left w:val="nil"/>
              <w:bottom w:val="single" w:sz="4" w:space="0" w:color="000000"/>
              <w:right w:val="single" w:sz="4" w:space="0" w:color="000000"/>
            </w:tcBorders>
            <w:shd w:val="clear" w:color="auto" w:fill="auto"/>
          </w:tcPr>
          <w:p w14:paraId="24AED3A6" w14:textId="76B64FC8" w:rsidR="00565193" w:rsidRPr="00A16D87" w:rsidRDefault="00A16D87" w:rsidP="00565193">
            <w:pPr>
              <w:spacing w:after="0" w:line="24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fldChar w:fldCharType="begin"/>
            </w:r>
            <w:r>
              <w:rPr>
                <w:rFonts w:ascii="Arial" w:eastAsia="Times New Roman" w:hAnsi="Arial" w:cs="Arial"/>
                <w:b/>
                <w:color w:val="000000"/>
                <w:sz w:val="18"/>
                <w:szCs w:val="18"/>
                <w:lang w:eastAsia="es-MX"/>
              </w:rPr>
              <w:instrText xml:space="preserve"> =SUM(ABOVE) </w:instrText>
            </w:r>
            <w:r>
              <w:rPr>
                <w:rFonts w:ascii="Arial" w:eastAsia="Times New Roman" w:hAnsi="Arial" w:cs="Arial"/>
                <w:b/>
                <w:color w:val="000000"/>
                <w:sz w:val="18"/>
                <w:szCs w:val="18"/>
                <w:lang w:eastAsia="es-MX"/>
              </w:rPr>
              <w:fldChar w:fldCharType="separate"/>
            </w:r>
            <w:r>
              <w:rPr>
                <w:rFonts w:ascii="Arial" w:eastAsia="Times New Roman" w:hAnsi="Arial" w:cs="Arial"/>
                <w:b/>
                <w:noProof/>
                <w:color w:val="000000"/>
                <w:sz w:val="18"/>
                <w:szCs w:val="18"/>
                <w:lang w:eastAsia="es-MX"/>
              </w:rPr>
              <w:t>28,725,644.53</w:t>
            </w:r>
            <w:r>
              <w:rPr>
                <w:rFonts w:ascii="Arial" w:eastAsia="Times New Roman" w:hAnsi="Arial" w:cs="Arial"/>
                <w:b/>
                <w:color w:val="000000"/>
                <w:sz w:val="18"/>
                <w:szCs w:val="18"/>
                <w:lang w:eastAsia="es-MX"/>
              </w:rPr>
              <w:fldChar w:fldCharType="end"/>
            </w:r>
          </w:p>
        </w:tc>
      </w:tr>
    </w:tbl>
    <w:p w14:paraId="530C9BA9" w14:textId="77777777" w:rsidR="00672F24" w:rsidRDefault="00672F24" w:rsidP="00AC7F8A">
      <w:pPr>
        <w:pStyle w:val="ROMANOS"/>
        <w:tabs>
          <w:tab w:val="clear" w:pos="720"/>
          <w:tab w:val="left" w:pos="288"/>
        </w:tabs>
        <w:spacing w:after="0" w:line="240" w:lineRule="exact"/>
        <w:ind w:left="284" w:firstLine="4"/>
        <w:rPr>
          <w:lang w:val="es-MX"/>
        </w:rPr>
      </w:pPr>
    </w:p>
    <w:p w14:paraId="620EF9C4" w14:textId="2180B586" w:rsidR="00AC7F8A" w:rsidRDefault="00AC7F8A" w:rsidP="00AC7F8A">
      <w:pPr>
        <w:pStyle w:val="ROMANOS"/>
        <w:tabs>
          <w:tab w:val="clear" w:pos="720"/>
          <w:tab w:val="left" w:pos="288"/>
        </w:tabs>
        <w:spacing w:after="0" w:line="240" w:lineRule="exact"/>
        <w:ind w:left="284" w:firstLine="4"/>
        <w:rPr>
          <w:lang w:val="es-MX"/>
        </w:rPr>
      </w:pPr>
    </w:p>
    <w:p w14:paraId="7E1E9B99" w14:textId="77777777" w:rsidR="00C71B08" w:rsidRDefault="00C71B08" w:rsidP="00AC7F8A">
      <w:pPr>
        <w:pStyle w:val="ROMANOS"/>
        <w:tabs>
          <w:tab w:val="clear" w:pos="720"/>
          <w:tab w:val="left" w:pos="288"/>
        </w:tabs>
        <w:spacing w:after="0" w:line="240" w:lineRule="exact"/>
        <w:ind w:left="284" w:firstLine="4"/>
        <w:rPr>
          <w:lang w:val="es-MX"/>
        </w:rPr>
      </w:pPr>
    </w:p>
    <w:p w14:paraId="620EF9C5" w14:textId="77777777" w:rsidR="00AC7F8A" w:rsidRDefault="00AC7F8A" w:rsidP="00AC7F8A">
      <w:pPr>
        <w:pStyle w:val="ROMANOS"/>
        <w:tabs>
          <w:tab w:val="clear" w:pos="720"/>
          <w:tab w:val="left" w:pos="288"/>
        </w:tabs>
        <w:spacing w:after="0" w:line="240" w:lineRule="exact"/>
        <w:ind w:left="284" w:firstLine="4"/>
        <w:rPr>
          <w:lang w:val="es-MX"/>
        </w:rPr>
      </w:pPr>
    </w:p>
    <w:p w14:paraId="74392022" w14:textId="77777777" w:rsidR="00A16D87" w:rsidRDefault="00A16D87" w:rsidP="00AC7F8A">
      <w:pPr>
        <w:pStyle w:val="ROMANOS"/>
        <w:tabs>
          <w:tab w:val="clear" w:pos="720"/>
          <w:tab w:val="left" w:pos="288"/>
        </w:tabs>
        <w:spacing w:after="0" w:line="240" w:lineRule="exact"/>
        <w:ind w:left="284" w:firstLine="4"/>
        <w:rPr>
          <w:lang w:val="es-MX"/>
        </w:rPr>
      </w:pPr>
    </w:p>
    <w:p w14:paraId="4E92BACD" w14:textId="77777777" w:rsidR="00A16D87" w:rsidRDefault="00A16D87" w:rsidP="00AC7F8A">
      <w:pPr>
        <w:pStyle w:val="ROMANOS"/>
        <w:tabs>
          <w:tab w:val="clear" w:pos="720"/>
          <w:tab w:val="left" w:pos="288"/>
        </w:tabs>
        <w:spacing w:after="0" w:line="240" w:lineRule="exact"/>
        <w:ind w:left="284" w:firstLine="4"/>
        <w:rPr>
          <w:lang w:val="es-MX"/>
        </w:rPr>
      </w:pPr>
    </w:p>
    <w:p w14:paraId="6E152D73" w14:textId="77777777" w:rsidR="00A16D87" w:rsidRDefault="00A16D87" w:rsidP="00AC7F8A">
      <w:pPr>
        <w:pStyle w:val="ROMANOS"/>
        <w:tabs>
          <w:tab w:val="clear" w:pos="720"/>
          <w:tab w:val="left" w:pos="288"/>
        </w:tabs>
        <w:spacing w:after="0" w:line="240" w:lineRule="exact"/>
        <w:ind w:left="284" w:firstLine="4"/>
        <w:rPr>
          <w:lang w:val="es-MX"/>
        </w:rPr>
      </w:pPr>
    </w:p>
    <w:p w14:paraId="620EF9CF" w14:textId="77777777" w:rsidR="00AC7F8A" w:rsidRPr="00630DB0" w:rsidRDefault="00AC7F8A" w:rsidP="00082C0D">
      <w:pPr>
        <w:pStyle w:val="Texto"/>
        <w:spacing w:after="0" w:line="240" w:lineRule="exact"/>
        <w:ind w:firstLine="0"/>
        <w:rPr>
          <w:szCs w:val="18"/>
          <w:lang w:val="es-MX"/>
        </w:rPr>
      </w:pPr>
    </w:p>
    <w:p w14:paraId="620EF9D0" w14:textId="77777777" w:rsidR="00AC7F8A" w:rsidRPr="002715B0" w:rsidRDefault="00AC7F8A" w:rsidP="00AC7F8A">
      <w:pPr>
        <w:pStyle w:val="INCISO"/>
        <w:spacing w:after="0" w:line="240" w:lineRule="exact"/>
        <w:ind w:left="360"/>
        <w:rPr>
          <w:b/>
          <w:smallCaps/>
        </w:rPr>
      </w:pPr>
      <w:r w:rsidRPr="00630DB0">
        <w:rPr>
          <w:b/>
          <w:smallCaps/>
        </w:rPr>
        <w:t>V) Conciliación entre los ingresos presupuestarios y contables, así como entre los egresos presupuestarios y los gastos contables</w:t>
      </w:r>
    </w:p>
    <w:p w14:paraId="620EF9D1" w14:textId="2EB7C2FB" w:rsidR="00AC7F8A" w:rsidRPr="00630DB0" w:rsidRDefault="00AC7F8A" w:rsidP="00AC7F8A">
      <w:pPr>
        <w:pStyle w:val="Texto"/>
        <w:spacing w:after="0" w:line="240" w:lineRule="exact"/>
        <w:jc w:val="center"/>
        <w:rPr>
          <w:b/>
          <w:smallCaps/>
          <w:szCs w:val="18"/>
          <w:lang w:val="es-MX"/>
        </w:rPr>
      </w:pPr>
      <w:r>
        <w:rPr>
          <w:b/>
          <w:smallCaps/>
          <w:szCs w:val="18"/>
          <w:lang w:val="es-MX"/>
        </w:rPr>
        <w:t xml:space="preserve"> </w:t>
      </w:r>
    </w:p>
    <w:p w14:paraId="620EF9D2" w14:textId="773BB85B" w:rsidR="00AC7F8A" w:rsidRDefault="00AC7F8A" w:rsidP="00AC7F8A">
      <w:pPr>
        <w:pStyle w:val="Texto"/>
        <w:spacing w:after="0" w:line="240" w:lineRule="exact"/>
        <w:ind w:firstLine="0"/>
        <w:jc w:val="center"/>
        <w:rPr>
          <w:szCs w:val="18"/>
        </w:rPr>
      </w:pPr>
    </w:p>
    <w:p w14:paraId="620EF9D3" w14:textId="77777777" w:rsidR="00AC7F8A" w:rsidRDefault="00AC7F8A" w:rsidP="00AC7F8A">
      <w:pPr>
        <w:pStyle w:val="Texto"/>
        <w:spacing w:after="0" w:line="240" w:lineRule="exact"/>
        <w:ind w:firstLine="0"/>
        <w:jc w:val="center"/>
        <w:rPr>
          <w:szCs w:val="18"/>
        </w:rPr>
      </w:pPr>
    </w:p>
    <w:p w14:paraId="349709BA" w14:textId="5C81C94E" w:rsidR="002E5ED2" w:rsidRDefault="002E5ED2" w:rsidP="00AC7F8A">
      <w:pPr>
        <w:pStyle w:val="Texto"/>
        <w:spacing w:after="0" w:line="240" w:lineRule="exact"/>
        <w:ind w:firstLine="0"/>
        <w:jc w:val="center"/>
        <w:rPr>
          <w:szCs w:val="18"/>
        </w:rPr>
      </w:pPr>
    </w:p>
    <w:p w14:paraId="37531506" w14:textId="7A14976A" w:rsidR="002E5ED2" w:rsidRDefault="008D7E43" w:rsidP="00AC7F8A">
      <w:pPr>
        <w:pStyle w:val="Texto"/>
        <w:spacing w:after="0" w:line="240" w:lineRule="exact"/>
        <w:ind w:firstLine="0"/>
        <w:jc w:val="center"/>
        <w:rPr>
          <w:szCs w:val="18"/>
        </w:rPr>
      </w:pPr>
      <w:r>
        <w:rPr>
          <w:noProof/>
          <w:lang w:val="es-MX" w:eastAsia="es-MX"/>
        </w:rPr>
        <w:object w:dxaOrig="1440" w:dyaOrig="1440" w14:anchorId="620EFA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left:0;text-align:left;margin-left:-.2pt;margin-top:14.15pt;width:789.9pt;height:321pt;z-index:251672576;mso-position-horizontal-relative:text;mso-position-vertical-relative:text">
            <v:imagedata r:id="rId8" o:title=""/>
            <w10:wrap type="topAndBottom"/>
          </v:shape>
          <o:OLEObject Type="Embed" ProgID="Excel.Sheet.12" ShapeID="_x0000_s1072" DrawAspect="Content" ObjectID="_1688470795" r:id="rId9"/>
        </w:object>
      </w:r>
    </w:p>
    <w:p w14:paraId="095A696A" w14:textId="77777777" w:rsidR="002E5ED2" w:rsidRDefault="002E5ED2" w:rsidP="00AC7F8A">
      <w:pPr>
        <w:pStyle w:val="Texto"/>
        <w:spacing w:after="0" w:line="240" w:lineRule="exact"/>
        <w:ind w:firstLine="0"/>
        <w:jc w:val="center"/>
        <w:rPr>
          <w:szCs w:val="18"/>
        </w:rPr>
      </w:pPr>
    </w:p>
    <w:p w14:paraId="6C8AC000" w14:textId="5885CCD5" w:rsidR="002E5ED2" w:rsidRDefault="008D7E43" w:rsidP="00AC7F8A">
      <w:pPr>
        <w:pStyle w:val="Texto"/>
        <w:spacing w:after="0" w:line="240" w:lineRule="exact"/>
        <w:ind w:firstLine="0"/>
        <w:jc w:val="center"/>
        <w:rPr>
          <w:szCs w:val="18"/>
        </w:rPr>
      </w:pPr>
      <w:r>
        <w:rPr>
          <w:noProof/>
          <w:szCs w:val="18"/>
        </w:rPr>
        <w:lastRenderedPageBreak/>
        <w:object w:dxaOrig="1440" w:dyaOrig="1440" w14:anchorId="620EFAA1">
          <v:shape id="_x0000_s1074" type="#_x0000_t75" style="position:absolute;left:0;text-align:left;margin-left:9.15pt;margin-top:36.65pt;width:692.35pt;height:355.3pt;z-index:251675648">
            <v:imagedata r:id="rId10" o:title=""/>
            <w10:wrap type="topAndBottom"/>
          </v:shape>
          <o:OLEObject Type="Embed" ProgID="Excel.Sheet.8" ShapeID="_x0000_s1074" DrawAspect="Content" ObjectID="_1688470796" r:id="rId11"/>
        </w:object>
      </w:r>
    </w:p>
    <w:p w14:paraId="620EF9D4" w14:textId="2F472C93" w:rsidR="00AC7F8A" w:rsidRDefault="00AC7F8A" w:rsidP="00AC7F8A">
      <w:pPr>
        <w:pStyle w:val="Texto"/>
        <w:spacing w:after="0" w:line="240" w:lineRule="exact"/>
        <w:ind w:firstLine="0"/>
        <w:jc w:val="center"/>
        <w:rPr>
          <w:szCs w:val="18"/>
        </w:rPr>
      </w:pPr>
    </w:p>
    <w:p w14:paraId="2F219D6C" w14:textId="77777777" w:rsidR="00B32D71" w:rsidRDefault="00B32D71" w:rsidP="0062599C">
      <w:pPr>
        <w:pStyle w:val="Texto"/>
        <w:spacing w:after="0" w:line="240" w:lineRule="exact"/>
        <w:ind w:firstLine="0"/>
        <w:rPr>
          <w:szCs w:val="18"/>
        </w:rPr>
      </w:pPr>
    </w:p>
    <w:p w14:paraId="1130EA3B" w14:textId="77777777" w:rsidR="00764CB9" w:rsidRDefault="00764CB9" w:rsidP="00AC7F8A">
      <w:pPr>
        <w:pStyle w:val="Texto"/>
        <w:spacing w:after="0" w:line="240" w:lineRule="exact"/>
        <w:ind w:firstLine="0"/>
        <w:jc w:val="center"/>
        <w:rPr>
          <w:szCs w:val="18"/>
        </w:rPr>
      </w:pPr>
    </w:p>
    <w:p w14:paraId="1C96984D" w14:textId="77777777" w:rsidR="00764CB9" w:rsidRDefault="00764CB9" w:rsidP="00AC7F8A">
      <w:pPr>
        <w:pStyle w:val="Texto"/>
        <w:spacing w:after="0" w:line="240" w:lineRule="exact"/>
        <w:ind w:firstLine="0"/>
        <w:jc w:val="center"/>
        <w:rPr>
          <w:szCs w:val="18"/>
        </w:rPr>
      </w:pPr>
    </w:p>
    <w:p w14:paraId="585D84A8" w14:textId="77777777" w:rsidR="00764CB9" w:rsidRDefault="00764CB9" w:rsidP="00AC7F8A">
      <w:pPr>
        <w:pStyle w:val="Texto"/>
        <w:spacing w:after="0" w:line="240" w:lineRule="exact"/>
        <w:ind w:firstLine="0"/>
        <w:jc w:val="center"/>
        <w:rPr>
          <w:szCs w:val="18"/>
        </w:rPr>
      </w:pPr>
    </w:p>
    <w:p w14:paraId="16B71433" w14:textId="77777777" w:rsidR="00764CB9" w:rsidRDefault="00764CB9" w:rsidP="00AC7F8A">
      <w:pPr>
        <w:pStyle w:val="Texto"/>
        <w:spacing w:after="0" w:line="240" w:lineRule="exact"/>
        <w:ind w:firstLine="0"/>
        <w:jc w:val="center"/>
        <w:rPr>
          <w:szCs w:val="18"/>
        </w:rPr>
      </w:pPr>
    </w:p>
    <w:p w14:paraId="088EA2FA" w14:textId="77777777" w:rsidR="00764CB9" w:rsidRDefault="00764CB9" w:rsidP="00AC7F8A">
      <w:pPr>
        <w:pStyle w:val="Texto"/>
        <w:spacing w:after="0" w:line="240" w:lineRule="exact"/>
        <w:ind w:firstLine="0"/>
        <w:jc w:val="center"/>
        <w:rPr>
          <w:szCs w:val="18"/>
        </w:rPr>
      </w:pPr>
    </w:p>
    <w:p w14:paraId="630EF802" w14:textId="7F41D29F" w:rsidR="00764CB9" w:rsidRDefault="00764CB9" w:rsidP="00AC7F8A">
      <w:pPr>
        <w:pStyle w:val="Texto"/>
        <w:spacing w:after="0" w:line="240" w:lineRule="exact"/>
        <w:ind w:firstLine="0"/>
        <w:jc w:val="center"/>
        <w:rPr>
          <w:szCs w:val="18"/>
        </w:rPr>
      </w:pPr>
    </w:p>
    <w:p w14:paraId="1B3A217D" w14:textId="77777777" w:rsidR="001A7F34" w:rsidRDefault="001A7F34" w:rsidP="00AC7F8A">
      <w:pPr>
        <w:pStyle w:val="Texto"/>
        <w:spacing w:after="0" w:line="240" w:lineRule="exact"/>
        <w:ind w:firstLine="0"/>
        <w:jc w:val="center"/>
        <w:rPr>
          <w:szCs w:val="18"/>
        </w:rPr>
      </w:pPr>
    </w:p>
    <w:p w14:paraId="620EF9D7" w14:textId="77777777" w:rsidR="00AC7F8A" w:rsidRPr="00630DB0" w:rsidRDefault="00AC7F8A" w:rsidP="00AC7F8A">
      <w:pPr>
        <w:pStyle w:val="Texto"/>
        <w:spacing w:after="0" w:line="240" w:lineRule="exact"/>
        <w:ind w:firstLine="0"/>
        <w:jc w:val="center"/>
        <w:rPr>
          <w:b/>
          <w:szCs w:val="18"/>
          <w:lang w:val="es-MX"/>
        </w:rPr>
      </w:pPr>
      <w:r w:rsidRPr="00630DB0">
        <w:rPr>
          <w:szCs w:val="18"/>
        </w:rPr>
        <w:t xml:space="preserve"> </w:t>
      </w:r>
      <w:r w:rsidRPr="00630DB0">
        <w:rPr>
          <w:b/>
          <w:szCs w:val="18"/>
        </w:rPr>
        <w:t>b)</w:t>
      </w:r>
      <w:r w:rsidRPr="00630DB0">
        <w:rPr>
          <w:szCs w:val="18"/>
        </w:rPr>
        <w:t xml:space="preserve"> </w:t>
      </w:r>
      <w:r w:rsidRPr="00630DB0">
        <w:rPr>
          <w:b/>
          <w:szCs w:val="18"/>
          <w:lang w:val="es-MX"/>
        </w:rPr>
        <w:t>NOTAS DE MEMORIA (CUENTAS DE ORDEN)</w:t>
      </w:r>
    </w:p>
    <w:p w14:paraId="620EF9D8" w14:textId="77777777" w:rsidR="00AC7F8A" w:rsidRPr="00630DB0" w:rsidRDefault="00AC7F8A" w:rsidP="00AC7F8A">
      <w:pPr>
        <w:pStyle w:val="Texto"/>
        <w:spacing w:after="0" w:line="240" w:lineRule="exact"/>
        <w:ind w:firstLine="0"/>
        <w:rPr>
          <w:b/>
          <w:szCs w:val="18"/>
          <w:lang w:val="es-MX"/>
        </w:rPr>
      </w:pPr>
    </w:p>
    <w:p w14:paraId="620EF9D9" w14:textId="437D1113" w:rsidR="00AC7F8A" w:rsidRDefault="00AC7F8A" w:rsidP="00AC7F8A">
      <w:pPr>
        <w:pStyle w:val="Texto"/>
        <w:spacing w:after="0" w:line="240" w:lineRule="exact"/>
        <w:rPr>
          <w:szCs w:val="18"/>
          <w:lang w:val="es-MX"/>
        </w:rPr>
      </w:pPr>
      <w:r>
        <w:rPr>
          <w:szCs w:val="18"/>
          <w:lang w:val="es-MX"/>
        </w:rPr>
        <w:t xml:space="preserve">Al </w:t>
      </w:r>
      <w:r w:rsidR="0048534C">
        <w:rPr>
          <w:szCs w:val="18"/>
          <w:lang w:val="es-MX"/>
        </w:rPr>
        <w:t>periodo que se informa</w:t>
      </w:r>
      <w:r w:rsidR="0062599C">
        <w:rPr>
          <w:szCs w:val="18"/>
          <w:lang w:val="es-MX"/>
        </w:rPr>
        <w:t>,</w:t>
      </w:r>
      <w:r w:rsidRPr="00733E22">
        <w:rPr>
          <w:szCs w:val="18"/>
          <w:lang w:val="es-MX"/>
        </w:rPr>
        <w:t xml:space="preserve"> </w:t>
      </w:r>
      <w:r>
        <w:rPr>
          <w:szCs w:val="18"/>
          <w:lang w:val="es-MX"/>
        </w:rPr>
        <w:t>se</w:t>
      </w:r>
      <w:r w:rsidRPr="00733E22">
        <w:rPr>
          <w:szCs w:val="18"/>
          <w:lang w:val="es-MX"/>
        </w:rPr>
        <w:t xml:space="preserve"> utiliza</w:t>
      </w:r>
      <w:r w:rsidR="0048534C">
        <w:rPr>
          <w:szCs w:val="18"/>
          <w:lang w:val="es-MX"/>
        </w:rPr>
        <w:t>ro</w:t>
      </w:r>
      <w:r w:rsidRPr="00733E22">
        <w:rPr>
          <w:szCs w:val="18"/>
          <w:lang w:val="es-MX"/>
        </w:rPr>
        <w:t xml:space="preserve">n </w:t>
      </w:r>
      <w:r w:rsidR="0048534C">
        <w:rPr>
          <w:szCs w:val="18"/>
          <w:lang w:val="es-MX"/>
        </w:rPr>
        <w:t xml:space="preserve">las </w:t>
      </w:r>
      <w:r w:rsidRPr="00733E22">
        <w:rPr>
          <w:szCs w:val="18"/>
          <w:lang w:val="es-MX"/>
        </w:rPr>
        <w:t>cuentas de orden</w:t>
      </w:r>
      <w:r>
        <w:rPr>
          <w:szCs w:val="18"/>
          <w:lang w:val="es-MX"/>
        </w:rPr>
        <w:t xml:space="preserve"> contable</w:t>
      </w:r>
      <w:r w:rsidR="00232EA6">
        <w:rPr>
          <w:szCs w:val="18"/>
          <w:lang w:val="es-MX"/>
        </w:rPr>
        <w:t>s</w:t>
      </w:r>
      <w:r w:rsidR="0048534C">
        <w:rPr>
          <w:szCs w:val="18"/>
          <w:lang w:val="es-MX"/>
        </w:rPr>
        <w:t xml:space="preserve"> siguientes para presentar el valor del almacén, el cual </w:t>
      </w:r>
      <w:r w:rsidR="0048534C" w:rsidRPr="00630DB0">
        <w:rPr>
          <w:lang w:val="es-MX"/>
        </w:rPr>
        <w:t>se encuentra valuad</w:t>
      </w:r>
      <w:r w:rsidR="0048534C">
        <w:rPr>
          <w:lang w:val="es-MX"/>
        </w:rPr>
        <w:t>o</w:t>
      </w:r>
      <w:r w:rsidR="0048534C" w:rsidRPr="00630DB0">
        <w:rPr>
          <w:lang w:val="es-MX"/>
        </w:rPr>
        <w:t xml:space="preserve"> </w:t>
      </w:r>
      <w:r w:rsidR="0048534C">
        <w:rPr>
          <w:lang w:val="es-MX"/>
        </w:rPr>
        <w:t>bajo el método de</w:t>
      </w:r>
      <w:r w:rsidR="0048534C" w:rsidRPr="00630DB0">
        <w:rPr>
          <w:lang w:val="es-MX"/>
        </w:rPr>
        <w:t xml:space="preserve"> </w:t>
      </w:r>
      <w:r w:rsidR="0048534C">
        <w:rPr>
          <w:lang w:val="es-MX"/>
        </w:rPr>
        <w:t>primeras entradas-primeras salidas</w:t>
      </w:r>
      <w:r>
        <w:rPr>
          <w:szCs w:val="18"/>
          <w:lang w:val="es-MX"/>
        </w:rPr>
        <w:t>:</w:t>
      </w:r>
    </w:p>
    <w:p w14:paraId="620EF9DA" w14:textId="77777777" w:rsidR="00AC7F8A" w:rsidRDefault="00AC7F8A" w:rsidP="00AC7F8A">
      <w:pPr>
        <w:pStyle w:val="Texto"/>
        <w:spacing w:after="0" w:line="240" w:lineRule="exact"/>
        <w:rPr>
          <w:szCs w:val="18"/>
          <w:lang w:val="es-MX"/>
        </w:rPr>
      </w:pPr>
    </w:p>
    <w:p w14:paraId="620EF9DC" w14:textId="77777777" w:rsidR="00AC7F8A" w:rsidRDefault="00AC7F8A" w:rsidP="00AC7F8A">
      <w:pPr>
        <w:pStyle w:val="Texto"/>
        <w:spacing w:after="0" w:line="240" w:lineRule="exact"/>
        <w:rPr>
          <w:szCs w:val="18"/>
          <w:lang w:val="es-MX"/>
        </w:rPr>
      </w:pPr>
    </w:p>
    <w:tbl>
      <w:tblPr>
        <w:tblStyle w:val="Tablaconcuadrcula"/>
        <w:tblW w:w="7261" w:type="dxa"/>
        <w:jc w:val="center"/>
        <w:tblLook w:val="04A0" w:firstRow="1" w:lastRow="0" w:firstColumn="1" w:lastColumn="0" w:noHBand="0" w:noVBand="1"/>
      </w:tblPr>
      <w:tblGrid>
        <w:gridCol w:w="7261"/>
      </w:tblGrid>
      <w:tr w:rsidR="00222D69" w:rsidRPr="0048534C" w14:paraId="620EF9DF" w14:textId="77777777" w:rsidTr="00222D69">
        <w:trPr>
          <w:trHeight w:val="285"/>
          <w:jc w:val="center"/>
        </w:trPr>
        <w:tc>
          <w:tcPr>
            <w:tcW w:w="7261" w:type="dxa"/>
            <w:hideMark/>
          </w:tcPr>
          <w:p w14:paraId="620EF9DD" w14:textId="681E4C70" w:rsidR="00222D69" w:rsidRPr="0048534C" w:rsidRDefault="00222D69" w:rsidP="008E3157">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Materiales de administración, emisión de documentos y artículos oficiales</w:t>
            </w:r>
          </w:p>
        </w:tc>
      </w:tr>
      <w:tr w:rsidR="00222D69" w:rsidRPr="0048534C" w14:paraId="620EF9E2" w14:textId="77777777" w:rsidTr="00222D69">
        <w:trPr>
          <w:trHeight w:val="285"/>
          <w:jc w:val="center"/>
        </w:trPr>
        <w:tc>
          <w:tcPr>
            <w:tcW w:w="7261" w:type="dxa"/>
          </w:tcPr>
          <w:p w14:paraId="620EF9E0" w14:textId="0CAE1CB5" w:rsidR="00222D69" w:rsidRPr="0048534C" w:rsidRDefault="00222D69" w:rsidP="008E3157">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Alimentos y utensilios</w:t>
            </w:r>
          </w:p>
        </w:tc>
      </w:tr>
      <w:tr w:rsidR="00222D69" w:rsidRPr="0048534C" w14:paraId="569F47F9" w14:textId="77777777" w:rsidTr="00222D69">
        <w:trPr>
          <w:trHeight w:val="285"/>
          <w:jc w:val="center"/>
        </w:trPr>
        <w:tc>
          <w:tcPr>
            <w:tcW w:w="7261" w:type="dxa"/>
          </w:tcPr>
          <w:p w14:paraId="099E6CAF" w14:textId="73AD16F5" w:rsidR="00222D69" w:rsidRPr="0048534C" w:rsidRDefault="00222D69" w:rsidP="008E3157">
            <w:pPr>
              <w:rPr>
                <w:rFonts w:ascii="Arial" w:eastAsia="Times New Roman" w:hAnsi="Arial" w:cs="Arial"/>
                <w:color w:val="000000"/>
                <w:sz w:val="18"/>
                <w:szCs w:val="18"/>
                <w:lang w:eastAsia="es-MX"/>
              </w:rPr>
            </w:pPr>
            <w:r w:rsidRPr="00E460D4">
              <w:rPr>
                <w:rFonts w:ascii="Arial" w:eastAsia="Times New Roman" w:hAnsi="Arial" w:cs="Arial"/>
                <w:color w:val="000000"/>
                <w:sz w:val="18"/>
                <w:szCs w:val="18"/>
                <w:lang w:eastAsia="es-MX"/>
              </w:rPr>
              <w:t>Materiales y artículos de construcción y de reparación</w:t>
            </w:r>
          </w:p>
        </w:tc>
      </w:tr>
      <w:tr w:rsidR="00222D69" w:rsidRPr="0048534C" w14:paraId="620EF9E5" w14:textId="77777777" w:rsidTr="00222D69">
        <w:trPr>
          <w:trHeight w:val="285"/>
          <w:jc w:val="center"/>
        </w:trPr>
        <w:tc>
          <w:tcPr>
            <w:tcW w:w="7261" w:type="dxa"/>
            <w:hideMark/>
          </w:tcPr>
          <w:p w14:paraId="620EF9E3" w14:textId="48CE8EEE" w:rsidR="00222D69" w:rsidRPr="0048534C" w:rsidRDefault="00222D69" w:rsidP="008E3157">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Productos químicos, farmacéuticos y de laboratorio</w:t>
            </w:r>
          </w:p>
        </w:tc>
      </w:tr>
      <w:tr w:rsidR="00222D69" w:rsidRPr="0048534C" w14:paraId="620EF9E8" w14:textId="77777777" w:rsidTr="00222D69">
        <w:trPr>
          <w:trHeight w:val="257"/>
          <w:jc w:val="center"/>
        </w:trPr>
        <w:tc>
          <w:tcPr>
            <w:tcW w:w="7261" w:type="dxa"/>
            <w:hideMark/>
          </w:tcPr>
          <w:p w14:paraId="620EF9E6" w14:textId="57AADCE6" w:rsidR="00222D69" w:rsidRPr="0048534C" w:rsidRDefault="00222D69" w:rsidP="008E3157">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Vestuario, blancos, prendas de protección y artículos deportivos</w:t>
            </w:r>
          </w:p>
        </w:tc>
      </w:tr>
      <w:tr w:rsidR="00222D69" w:rsidRPr="0048534C" w14:paraId="620EF9EB" w14:textId="77777777" w:rsidTr="00222D69">
        <w:trPr>
          <w:trHeight w:val="257"/>
          <w:jc w:val="center"/>
        </w:trPr>
        <w:tc>
          <w:tcPr>
            <w:tcW w:w="7261" w:type="dxa"/>
          </w:tcPr>
          <w:p w14:paraId="620EF9E9" w14:textId="6F2B8F8B" w:rsidR="00222D69" w:rsidRPr="0048534C" w:rsidRDefault="00222D69" w:rsidP="008E3157">
            <w:pPr>
              <w:rPr>
                <w:rFonts w:ascii="Arial" w:eastAsia="Times New Roman" w:hAnsi="Arial" w:cs="Arial"/>
                <w:color w:val="000000"/>
                <w:sz w:val="18"/>
                <w:szCs w:val="18"/>
                <w:lang w:eastAsia="es-MX"/>
              </w:rPr>
            </w:pPr>
            <w:r w:rsidRPr="0048534C">
              <w:rPr>
                <w:rFonts w:ascii="Arial" w:eastAsia="Times New Roman" w:hAnsi="Arial" w:cs="Arial"/>
                <w:color w:val="000000"/>
                <w:sz w:val="18"/>
                <w:szCs w:val="18"/>
                <w:lang w:eastAsia="es-MX"/>
              </w:rPr>
              <w:t>Herramientas, refacciones y accesorios menores</w:t>
            </w:r>
          </w:p>
        </w:tc>
      </w:tr>
    </w:tbl>
    <w:p w14:paraId="620EF9EC" w14:textId="77777777" w:rsidR="00AC7F8A" w:rsidRDefault="00AC7F8A" w:rsidP="00AC7F8A">
      <w:pPr>
        <w:pStyle w:val="Texto"/>
        <w:spacing w:after="0" w:line="240" w:lineRule="exact"/>
        <w:rPr>
          <w:szCs w:val="18"/>
          <w:lang w:val="es-MX"/>
        </w:rPr>
      </w:pPr>
    </w:p>
    <w:p w14:paraId="620EF9ED" w14:textId="403863CB" w:rsidR="00AC7F8A" w:rsidRDefault="0048534C" w:rsidP="00AC7F8A">
      <w:pPr>
        <w:pStyle w:val="Texto"/>
        <w:spacing w:after="0" w:line="240" w:lineRule="exact"/>
        <w:rPr>
          <w:szCs w:val="18"/>
          <w:lang w:val="es-MX"/>
        </w:rPr>
      </w:pPr>
      <w:r>
        <w:rPr>
          <w:szCs w:val="18"/>
          <w:lang w:val="es-MX"/>
        </w:rPr>
        <w:t>Al periodo que se informa</w:t>
      </w:r>
      <w:r w:rsidR="00CB3FA8" w:rsidRPr="00733E22">
        <w:rPr>
          <w:szCs w:val="18"/>
          <w:lang w:val="es-MX"/>
        </w:rPr>
        <w:t xml:space="preserve"> </w:t>
      </w:r>
      <w:r w:rsidR="00AC7F8A">
        <w:rPr>
          <w:szCs w:val="18"/>
          <w:lang w:val="es-MX"/>
        </w:rPr>
        <w:t>se</w:t>
      </w:r>
      <w:r w:rsidR="00AC7F8A" w:rsidRPr="00733E22">
        <w:rPr>
          <w:szCs w:val="18"/>
          <w:lang w:val="es-MX"/>
        </w:rPr>
        <w:t xml:space="preserve"> utiliza</w:t>
      </w:r>
      <w:r>
        <w:rPr>
          <w:szCs w:val="18"/>
          <w:lang w:val="es-MX"/>
        </w:rPr>
        <w:t>ro</w:t>
      </w:r>
      <w:r w:rsidR="00AC7F8A" w:rsidRPr="00733E22">
        <w:rPr>
          <w:szCs w:val="18"/>
          <w:lang w:val="es-MX"/>
        </w:rPr>
        <w:t xml:space="preserve">n </w:t>
      </w:r>
      <w:r>
        <w:rPr>
          <w:szCs w:val="18"/>
          <w:lang w:val="es-MX"/>
        </w:rPr>
        <w:t xml:space="preserve">las </w:t>
      </w:r>
      <w:r w:rsidR="00AC7F8A" w:rsidRPr="00733E22">
        <w:rPr>
          <w:szCs w:val="18"/>
          <w:lang w:val="es-MX"/>
        </w:rPr>
        <w:t>cuentas de orden</w:t>
      </w:r>
      <w:r w:rsidR="00AC7F8A">
        <w:rPr>
          <w:szCs w:val="18"/>
          <w:lang w:val="es-MX"/>
        </w:rPr>
        <w:t xml:space="preserve"> presupuestarias que se enlistan a continuación:</w:t>
      </w:r>
    </w:p>
    <w:p w14:paraId="620EF9EE" w14:textId="77777777" w:rsidR="00AC7F8A" w:rsidRDefault="00AC7F8A" w:rsidP="00AC7F8A">
      <w:pPr>
        <w:pStyle w:val="Texto"/>
        <w:spacing w:after="0" w:line="240" w:lineRule="exact"/>
        <w:rPr>
          <w:szCs w:val="18"/>
          <w:lang w:val="es-MX"/>
        </w:rPr>
      </w:pPr>
    </w:p>
    <w:tbl>
      <w:tblPr>
        <w:tblpPr w:leftFromText="141" w:rightFromText="141" w:vertAnchor="text" w:tblpXSpec="center" w:tblpY="1"/>
        <w:tblOverlap w:val="never"/>
        <w:tblW w:w="6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18"/>
      </w:tblGrid>
      <w:tr w:rsidR="00AC7F8A" w:rsidRPr="00DC1457" w14:paraId="620EF9F0" w14:textId="77777777" w:rsidTr="00A0339D">
        <w:trPr>
          <w:trHeight w:val="285"/>
        </w:trPr>
        <w:tc>
          <w:tcPr>
            <w:tcW w:w="6618" w:type="dxa"/>
            <w:shd w:val="clear" w:color="auto" w:fill="auto"/>
            <w:vAlign w:val="bottom"/>
            <w:hideMark/>
          </w:tcPr>
          <w:p w14:paraId="620EF9EF"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w:t>
            </w:r>
          </w:p>
        </w:tc>
      </w:tr>
      <w:tr w:rsidR="00AC7F8A" w:rsidRPr="00DC1457" w14:paraId="620EF9F2" w14:textId="77777777" w:rsidTr="00A0339D">
        <w:trPr>
          <w:trHeight w:val="285"/>
        </w:trPr>
        <w:tc>
          <w:tcPr>
            <w:tcW w:w="6618" w:type="dxa"/>
            <w:shd w:val="clear" w:color="auto" w:fill="auto"/>
            <w:vAlign w:val="bottom"/>
            <w:hideMark/>
          </w:tcPr>
          <w:p w14:paraId="620EF9F1"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ESTIMADA [LEY DE INGRESOS ESTIMADA ]</w:t>
            </w:r>
          </w:p>
        </w:tc>
      </w:tr>
      <w:tr w:rsidR="00AC7F8A" w:rsidRPr="00DC1457" w14:paraId="620EF9F4" w14:textId="77777777" w:rsidTr="00A0339D">
        <w:trPr>
          <w:trHeight w:val="285"/>
        </w:trPr>
        <w:tc>
          <w:tcPr>
            <w:tcW w:w="6618" w:type="dxa"/>
            <w:shd w:val="clear" w:color="auto" w:fill="auto"/>
            <w:vAlign w:val="bottom"/>
            <w:hideMark/>
          </w:tcPr>
          <w:p w14:paraId="620EF9F3"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POR EJECUTAR [LEY DE INGRESOS POR EJECUTAR ]</w:t>
            </w:r>
          </w:p>
        </w:tc>
      </w:tr>
      <w:tr w:rsidR="00AC7F8A" w:rsidRPr="00DC1457" w14:paraId="620EF9F6" w14:textId="77777777" w:rsidTr="00A0339D">
        <w:trPr>
          <w:trHeight w:val="285"/>
        </w:trPr>
        <w:tc>
          <w:tcPr>
            <w:tcW w:w="6618" w:type="dxa"/>
            <w:shd w:val="clear" w:color="auto" w:fill="auto"/>
            <w:vAlign w:val="bottom"/>
            <w:hideMark/>
          </w:tcPr>
          <w:p w14:paraId="620EF9F5"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 LA LEY DE INGRESOS ESTIMADA</w:t>
            </w:r>
          </w:p>
        </w:tc>
      </w:tr>
      <w:tr w:rsidR="00AC7F8A" w:rsidRPr="00DC1457" w14:paraId="620EF9F8" w14:textId="77777777" w:rsidTr="00A0339D">
        <w:trPr>
          <w:trHeight w:val="285"/>
        </w:trPr>
        <w:tc>
          <w:tcPr>
            <w:tcW w:w="6618" w:type="dxa"/>
            <w:shd w:val="clear" w:color="auto" w:fill="auto"/>
            <w:vAlign w:val="bottom"/>
            <w:hideMark/>
          </w:tcPr>
          <w:p w14:paraId="620EF9F7"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DEVENGADA [LEY DE INGRESOS DEVENGADA ]</w:t>
            </w:r>
          </w:p>
        </w:tc>
      </w:tr>
      <w:tr w:rsidR="00AC7F8A" w:rsidRPr="00DC1457" w14:paraId="620EF9FA" w14:textId="77777777" w:rsidTr="00A0339D">
        <w:trPr>
          <w:trHeight w:val="285"/>
        </w:trPr>
        <w:tc>
          <w:tcPr>
            <w:tcW w:w="6618" w:type="dxa"/>
            <w:shd w:val="clear" w:color="auto" w:fill="auto"/>
            <w:vAlign w:val="bottom"/>
            <w:hideMark/>
          </w:tcPr>
          <w:p w14:paraId="620EF9F9"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LEY DE INGRESOS RECAUDADA [LEY DE INGRESOS RECAUDADA ]</w:t>
            </w:r>
          </w:p>
        </w:tc>
      </w:tr>
      <w:tr w:rsidR="00AC7F8A" w:rsidRPr="00DC1457" w14:paraId="620EF9FC" w14:textId="77777777" w:rsidTr="00A0339D">
        <w:trPr>
          <w:trHeight w:val="285"/>
        </w:trPr>
        <w:tc>
          <w:tcPr>
            <w:tcW w:w="6618" w:type="dxa"/>
            <w:shd w:val="clear" w:color="auto" w:fill="auto"/>
            <w:vAlign w:val="bottom"/>
          </w:tcPr>
          <w:p w14:paraId="620EF9FB" w14:textId="77777777" w:rsidR="00AC7F8A" w:rsidRPr="00DC1457" w:rsidRDefault="00AC7F8A" w:rsidP="00AD6257">
            <w:pPr>
              <w:spacing w:after="0" w:line="240" w:lineRule="auto"/>
              <w:rPr>
                <w:rFonts w:ascii="Arial" w:eastAsia="Times New Roman" w:hAnsi="Arial" w:cs="Arial"/>
                <w:color w:val="000000"/>
                <w:sz w:val="18"/>
                <w:szCs w:val="18"/>
                <w:lang w:eastAsia="es-MX"/>
              </w:rPr>
            </w:pPr>
          </w:p>
        </w:tc>
      </w:tr>
      <w:tr w:rsidR="00AC7F8A" w:rsidRPr="00DC1457" w14:paraId="620EF9FE" w14:textId="77777777" w:rsidTr="00A0339D">
        <w:trPr>
          <w:trHeight w:val="285"/>
        </w:trPr>
        <w:tc>
          <w:tcPr>
            <w:tcW w:w="6618" w:type="dxa"/>
            <w:shd w:val="clear" w:color="auto" w:fill="auto"/>
            <w:vAlign w:val="bottom"/>
            <w:hideMark/>
          </w:tcPr>
          <w:p w14:paraId="620EF9FD"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w:t>
            </w:r>
          </w:p>
        </w:tc>
      </w:tr>
      <w:tr w:rsidR="00AC7F8A" w:rsidRPr="00DC1457" w14:paraId="620EFA00" w14:textId="77777777" w:rsidTr="00A0339D">
        <w:trPr>
          <w:trHeight w:val="285"/>
        </w:trPr>
        <w:tc>
          <w:tcPr>
            <w:tcW w:w="6618" w:type="dxa"/>
            <w:shd w:val="clear" w:color="auto" w:fill="auto"/>
            <w:vAlign w:val="bottom"/>
            <w:hideMark/>
          </w:tcPr>
          <w:p w14:paraId="620EF9FF"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APROBADO</w:t>
            </w:r>
          </w:p>
        </w:tc>
      </w:tr>
      <w:tr w:rsidR="00AC7F8A" w:rsidRPr="00DC1457" w14:paraId="620EFA02" w14:textId="77777777" w:rsidTr="00A0339D">
        <w:trPr>
          <w:trHeight w:val="285"/>
        </w:trPr>
        <w:tc>
          <w:tcPr>
            <w:tcW w:w="6618" w:type="dxa"/>
            <w:shd w:val="clear" w:color="auto" w:fill="auto"/>
            <w:vAlign w:val="bottom"/>
            <w:hideMark/>
          </w:tcPr>
          <w:p w14:paraId="620EFA01"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POR EJERCER</w:t>
            </w:r>
          </w:p>
        </w:tc>
      </w:tr>
      <w:tr w:rsidR="00AC7F8A" w:rsidRPr="00DC1457" w14:paraId="620EFA04" w14:textId="77777777" w:rsidTr="00A0339D">
        <w:trPr>
          <w:trHeight w:val="285"/>
        </w:trPr>
        <w:tc>
          <w:tcPr>
            <w:tcW w:w="6618" w:type="dxa"/>
            <w:shd w:val="clear" w:color="auto" w:fill="auto"/>
            <w:vAlign w:val="bottom"/>
            <w:hideMark/>
          </w:tcPr>
          <w:p w14:paraId="620EFA03"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MODIFICACIONES AL PRESUPUESTO DE EGRESOS APROBADO</w:t>
            </w:r>
          </w:p>
        </w:tc>
      </w:tr>
      <w:tr w:rsidR="00AC7F8A" w:rsidRPr="00DC1457" w14:paraId="620EFA06" w14:textId="77777777" w:rsidTr="00A0339D">
        <w:trPr>
          <w:trHeight w:val="285"/>
        </w:trPr>
        <w:tc>
          <w:tcPr>
            <w:tcW w:w="6618" w:type="dxa"/>
            <w:shd w:val="clear" w:color="auto" w:fill="auto"/>
            <w:vAlign w:val="bottom"/>
            <w:hideMark/>
          </w:tcPr>
          <w:p w14:paraId="620EFA05"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COMPROMETIDO</w:t>
            </w:r>
          </w:p>
        </w:tc>
      </w:tr>
      <w:tr w:rsidR="00AC7F8A" w:rsidRPr="00DC1457" w14:paraId="620EFA08" w14:textId="77777777" w:rsidTr="00A0339D">
        <w:trPr>
          <w:trHeight w:val="285"/>
        </w:trPr>
        <w:tc>
          <w:tcPr>
            <w:tcW w:w="6618" w:type="dxa"/>
            <w:shd w:val="clear" w:color="auto" w:fill="auto"/>
            <w:vAlign w:val="bottom"/>
            <w:hideMark/>
          </w:tcPr>
          <w:p w14:paraId="620EFA07"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DEVENGADO</w:t>
            </w:r>
          </w:p>
        </w:tc>
      </w:tr>
      <w:tr w:rsidR="00AC7F8A" w:rsidRPr="00DC1457" w14:paraId="620EFA0A" w14:textId="77777777" w:rsidTr="00A0339D">
        <w:trPr>
          <w:trHeight w:val="285"/>
        </w:trPr>
        <w:tc>
          <w:tcPr>
            <w:tcW w:w="6618" w:type="dxa"/>
            <w:shd w:val="clear" w:color="auto" w:fill="auto"/>
            <w:vAlign w:val="bottom"/>
            <w:hideMark/>
          </w:tcPr>
          <w:p w14:paraId="620EFA09"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EJERCIDO</w:t>
            </w:r>
          </w:p>
        </w:tc>
      </w:tr>
      <w:tr w:rsidR="00AC7F8A" w:rsidRPr="00DC1457" w14:paraId="620EFA0C" w14:textId="77777777" w:rsidTr="00A0339D">
        <w:trPr>
          <w:trHeight w:val="285"/>
        </w:trPr>
        <w:tc>
          <w:tcPr>
            <w:tcW w:w="6618" w:type="dxa"/>
            <w:shd w:val="clear" w:color="auto" w:fill="auto"/>
            <w:vAlign w:val="bottom"/>
            <w:hideMark/>
          </w:tcPr>
          <w:p w14:paraId="620EFA0B" w14:textId="77777777" w:rsidR="00AC7F8A" w:rsidRPr="00DC1457" w:rsidRDefault="00AC7F8A" w:rsidP="00AD6257">
            <w:pPr>
              <w:spacing w:after="0" w:line="240" w:lineRule="auto"/>
              <w:rPr>
                <w:rFonts w:ascii="Arial" w:eastAsia="Times New Roman" w:hAnsi="Arial" w:cs="Arial"/>
                <w:color w:val="000000"/>
                <w:sz w:val="18"/>
                <w:szCs w:val="18"/>
                <w:lang w:eastAsia="es-MX"/>
              </w:rPr>
            </w:pPr>
            <w:r w:rsidRPr="00DC1457">
              <w:rPr>
                <w:rFonts w:ascii="Arial" w:eastAsia="Times New Roman" w:hAnsi="Arial" w:cs="Arial"/>
                <w:color w:val="000000"/>
                <w:sz w:val="18"/>
                <w:szCs w:val="18"/>
                <w:lang w:eastAsia="es-MX"/>
              </w:rPr>
              <w:t>PRESUPUESTO DE EGRESOS PAGADO</w:t>
            </w:r>
          </w:p>
        </w:tc>
      </w:tr>
    </w:tbl>
    <w:p w14:paraId="620EFA0D" w14:textId="77777777" w:rsidR="00AC7F8A" w:rsidRPr="00630DB0" w:rsidRDefault="00AC7F8A" w:rsidP="00AC7F8A">
      <w:pPr>
        <w:pStyle w:val="Texto"/>
        <w:spacing w:after="0" w:line="240" w:lineRule="exact"/>
        <w:rPr>
          <w:szCs w:val="18"/>
          <w:lang w:val="es-MX"/>
        </w:rPr>
      </w:pPr>
      <w:r>
        <w:rPr>
          <w:szCs w:val="18"/>
          <w:lang w:val="es-MX"/>
        </w:rPr>
        <w:br w:type="textWrapping" w:clear="all"/>
      </w:r>
    </w:p>
    <w:p w14:paraId="620EFA0E" w14:textId="77777777" w:rsidR="00AC7F8A" w:rsidRDefault="00AC7F8A" w:rsidP="00AC7F8A">
      <w:pPr>
        <w:pStyle w:val="Texto"/>
        <w:spacing w:after="0" w:line="240" w:lineRule="exact"/>
        <w:rPr>
          <w:szCs w:val="18"/>
          <w:lang w:val="es-MX"/>
        </w:rPr>
      </w:pPr>
    </w:p>
    <w:p w14:paraId="620EFA0F" w14:textId="39C111A9" w:rsidR="00A0339D" w:rsidRDefault="00A0339D" w:rsidP="00AC7F8A">
      <w:pPr>
        <w:pStyle w:val="Texto"/>
        <w:spacing w:after="0" w:line="240" w:lineRule="exact"/>
        <w:rPr>
          <w:szCs w:val="18"/>
          <w:lang w:val="es-MX"/>
        </w:rPr>
      </w:pPr>
    </w:p>
    <w:p w14:paraId="3ECF47BA" w14:textId="77777777" w:rsidR="001A7F34" w:rsidRDefault="001A7F34" w:rsidP="00AC7F8A">
      <w:pPr>
        <w:pStyle w:val="Texto"/>
        <w:spacing w:after="0" w:line="240" w:lineRule="exact"/>
        <w:rPr>
          <w:szCs w:val="18"/>
          <w:lang w:val="es-MX"/>
        </w:rPr>
      </w:pPr>
    </w:p>
    <w:p w14:paraId="620EFA11" w14:textId="77777777" w:rsidR="00AC7F8A" w:rsidRPr="00630DB0" w:rsidRDefault="00AC7F8A" w:rsidP="00AC7F8A">
      <w:pPr>
        <w:pStyle w:val="Texto"/>
        <w:spacing w:after="0" w:line="240" w:lineRule="exact"/>
        <w:ind w:firstLine="0"/>
        <w:jc w:val="center"/>
        <w:rPr>
          <w:b/>
          <w:szCs w:val="18"/>
          <w:lang w:val="es-MX"/>
        </w:rPr>
      </w:pPr>
      <w:r w:rsidRPr="00630DB0">
        <w:rPr>
          <w:b/>
          <w:szCs w:val="18"/>
          <w:lang w:val="es-MX"/>
        </w:rPr>
        <w:t>c) NOTAS DE GESTIÓN ADMINISTRATIVA</w:t>
      </w:r>
    </w:p>
    <w:p w14:paraId="620EFA12" w14:textId="77777777" w:rsidR="00AC7F8A" w:rsidRPr="00630DB0" w:rsidRDefault="00AC7F8A" w:rsidP="00AC7F8A">
      <w:pPr>
        <w:pStyle w:val="Texto"/>
        <w:spacing w:after="0" w:line="240" w:lineRule="exact"/>
        <w:ind w:firstLine="0"/>
        <w:jc w:val="left"/>
        <w:rPr>
          <w:b/>
          <w:szCs w:val="18"/>
          <w:lang w:val="es-MX"/>
        </w:rPr>
      </w:pPr>
    </w:p>
    <w:p w14:paraId="620EFA13" w14:textId="77777777" w:rsidR="00AC7F8A" w:rsidRPr="00630DB0" w:rsidRDefault="00AC7F8A" w:rsidP="00AC7F8A">
      <w:pPr>
        <w:pStyle w:val="Texto"/>
        <w:spacing w:after="0" w:line="240" w:lineRule="exact"/>
        <w:rPr>
          <w:b/>
          <w:szCs w:val="18"/>
        </w:rPr>
      </w:pPr>
      <w:r w:rsidRPr="00630DB0">
        <w:rPr>
          <w:b/>
          <w:szCs w:val="18"/>
          <w:lang w:val="es-MX"/>
        </w:rPr>
        <w:t>Introducción</w:t>
      </w:r>
    </w:p>
    <w:p w14:paraId="620EFA14" w14:textId="20D00516" w:rsidR="00AC7F8A" w:rsidRPr="000C574E" w:rsidRDefault="00AC7F8A" w:rsidP="00AC7F8A">
      <w:pPr>
        <w:tabs>
          <w:tab w:val="left" w:pos="284"/>
        </w:tabs>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Conforme a lo establecido en la Ley Orgánica de la Administración Pública del Estado de Tlaxcala, l</w:t>
      </w:r>
      <w:r w:rsidRPr="000C574E">
        <w:rPr>
          <w:rFonts w:ascii="Arial" w:eastAsia="Times New Roman" w:hAnsi="Arial" w:cs="Arial"/>
          <w:sz w:val="18"/>
          <w:szCs w:val="18"/>
          <w:lang w:val="es-ES" w:eastAsia="es-ES"/>
        </w:rPr>
        <w:t>a Secretar</w:t>
      </w:r>
      <w:r w:rsidR="003A5953">
        <w:rPr>
          <w:rFonts w:ascii="Arial" w:eastAsia="Times New Roman" w:hAnsi="Arial" w:cs="Arial"/>
          <w:sz w:val="18"/>
          <w:szCs w:val="18"/>
          <w:lang w:val="es-ES" w:eastAsia="es-ES"/>
        </w:rPr>
        <w:t>í</w:t>
      </w:r>
      <w:r w:rsidRPr="000C574E">
        <w:rPr>
          <w:rFonts w:ascii="Arial" w:eastAsia="Times New Roman" w:hAnsi="Arial" w:cs="Arial"/>
          <w:sz w:val="18"/>
          <w:szCs w:val="18"/>
          <w:lang w:val="es-ES" w:eastAsia="es-ES"/>
        </w:rPr>
        <w:t xml:space="preserve">a de Salud es la encargada de establecer la política Estatal en materia de salud, </w:t>
      </w:r>
      <w:r w:rsidRPr="001F011E">
        <w:rPr>
          <w:rFonts w:ascii="Arial" w:eastAsia="Times New Roman" w:hAnsi="Arial" w:cs="Arial"/>
          <w:sz w:val="18"/>
          <w:szCs w:val="18"/>
          <w:lang w:val="es-ES" w:eastAsia="es-ES"/>
        </w:rPr>
        <w:t xml:space="preserve">procurando siempre una atención eficiente, </w:t>
      </w:r>
      <w:r w:rsidR="00B86E68">
        <w:rPr>
          <w:rFonts w:ascii="Arial" w:eastAsia="Times New Roman" w:hAnsi="Arial" w:cs="Arial"/>
          <w:sz w:val="18"/>
          <w:szCs w:val="18"/>
          <w:lang w:val="es-ES" w:eastAsia="es-ES"/>
        </w:rPr>
        <w:t>de</w:t>
      </w:r>
      <w:r w:rsidRPr="001F011E">
        <w:rPr>
          <w:rFonts w:ascii="Arial" w:eastAsia="Times New Roman" w:hAnsi="Arial" w:cs="Arial"/>
          <w:sz w:val="18"/>
          <w:szCs w:val="18"/>
          <w:lang w:val="es-ES" w:eastAsia="es-ES"/>
        </w:rPr>
        <w:t xml:space="preserve"> calidad y oportuna a toda la ciudadanía Tlaxcalteca.</w:t>
      </w:r>
    </w:p>
    <w:p w14:paraId="620EFA15" w14:textId="77777777" w:rsidR="00AC7F8A" w:rsidRPr="001F011E" w:rsidRDefault="00AC7F8A" w:rsidP="00AC7F8A">
      <w:pPr>
        <w:tabs>
          <w:tab w:val="left" w:pos="284"/>
        </w:tabs>
        <w:spacing w:after="0"/>
        <w:ind w:left="284"/>
        <w:jc w:val="both"/>
        <w:rPr>
          <w:rFonts w:ascii="Arial" w:eastAsia="Times New Roman" w:hAnsi="Arial" w:cs="Arial"/>
          <w:sz w:val="18"/>
          <w:szCs w:val="18"/>
          <w:lang w:val="es-ES" w:eastAsia="es-ES"/>
        </w:rPr>
      </w:pPr>
      <w:r w:rsidRPr="001F011E">
        <w:rPr>
          <w:rFonts w:ascii="Arial" w:eastAsia="Times New Roman" w:hAnsi="Arial" w:cs="Arial"/>
          <w:sz w:val="18"/>
          <w:szCs w:val="18"/>
          <w:lang w:val="es-ES" w:eastAsia="es-ES"/>
        </w:rPr>
        <w:t>La normativa financiera y contable adoptada, proporciona los elementos necesarios para el manejo transparente de los recursos públicos, la información generada se caracteriza por su consistencia, integridad y congruencia con las disposiciones legales vigentes.</w:t>
      </w:r>
    </w:p>
    <w:p w14:paraId="620EFA16" w14:textId="77777777" w:rsidR="00AC7F8A" w:rsidRDefault="00AC7F8A" w:rsidP="00AC7F8A">
      <w:pPr>
        <w:pStyle w:val="Texto"/>
        <w:spacing w:after="0" w:line="240" w:lineRule="exact"/>
        <w:rPr>
          <w:szCs w:val="18"/>
        </w:rPr>
      </w:pPr>
    </w:p>
    <w:p w14:paraId="620EFA17" w14:textId="77777777" w:rsidR="00AC7F8A" w:rsidRPr="00630DB0" w:rsidRDefault="00AC7F8A" w:rsidP="00AC7F8A">
      <w:pPr>
        <w:pStyle w:val="Texto"/>
        <w:spacing w:after="0" w:line="240" w:lineRule="exact"/>
        <w:rPr>
          <w:b/>
          <w:szCs w:val="18"/>
          <w:lang w:val="es-MX"/>
        </w:rPr>
      </w:pPr>
      <w:r w:rsidRPr="00630DB0">
        <w:rPr>
          <w:b/>
          <w:szCs w:val="18"/>
          <w:lang w:val="es-MX"/>
        </w:rPr>
        <w:t>Panorama Económico y Financiero</w:t>
      </w:r>
    </w:p>
    <w:p w14:paraId="620EFA18" w14:textId="5CD85C34" w:rsidR="00AC7F8A" w:rsidRPr="00630DB0" w:rsidRDefault="00AC7F8A" w:rsidP="00AC7F8A">
      <w:pPr>
        <w:pStyle w:val="Texto"/>
        <w:spacing w:after="0" w:line="240" w:lineRule="exact"/>
        <w:ind w:left="284" w:firstLine="4"/>
        <w:rPr>
          <w:szCs w:val="18"/>
        </w:rPr>
      </w:pPr>
      <w:r w:rsidRPr="00630DB0">
        <w:rPr>
          <w:szCs w:val="18"/>
        </w:rPr>
        <w:t xml:space="preserve">Las condiciones Económico – Financieras con las que opera el O.P.D. Salud de Tlaxcala para el cumplimiento del objeto por el cual fue creado son adecuados, en virtud de que </w:t>
      </w:r>
      <w:r w:rsidR="00273C91">
        <w:rPr>
          <w:szCs w:val="18"/>
        </w:rPr>
        <w:t>la principal fuente de financiamiento de los</w:t>
      </w:r>
      <w:r w:rsidR="00273C91" w:rsidRPr="00630DB0">
        <w:rPr>
          <w:szCs w:val="18"/>
        </w:rPr>
        <w:t xml:space="preserve"> recursos destinados para su operación es</w:t>
      </w:r>
      <w:r w:rsidRPr="00630DB0">
        <w:rPr>
          <w:szCs w:val="18"/>
        </w:rPr>
        <w:t xml:space="preserve"> de carácter federal</w:t>
      </w:r>
      <w:r w:rsidR="003966F6">
        <w:rPr>
          <w:szCs w:val="18"/>
        </w:rPr>
        <w:t>,</w:t>
      </w:r>
      <w:r w:rsidRPr="00630DB0">
        <w:rPr>
          <w:szCs w:val="18"/>
        </w:rPr>
        <w:t xml:space="preserve"> y </w:t>
      </w:r>
      <w:r w:rsidR="00273C91">
        <w:rPr>
          <w:szCs w:val="18"/>
        </w:rPr>
        <w:t>de manera complementaria</w:t>
      </w:r>
      <w:r w:rsidR="003966F6">
        <w:rPr>
          <w:szCs w:val="18"/>
        </w:rPr>
        <w:t xml:space="preserve"> los</w:t>
      </w:r>
      <w:r w:rsidRPr="00630DB0">
        <w:rPr>
          <w:szCs w:val="18"/>
        </w:rPr>
        <w:t xml:space="preserve"> </w:t>
      </w:r>
      <w:r w:rsidR="00273C91">
        <w:rPr>
          <w:szCs w:val="18"/>
        </w:rPr>
        <w:t>recursos recaudados en el estado</w:t>
      </w:r>
      <w:r w:rsidRPr="00630DB0">
        <w:rPr>
          <w:szCs w:val="18"/>
        </w:rPr>
        <w:t xml:space="preserve">. Los recursos destinados a esta entidad se ejercen conforme se generan las necesidades inherentes a la entidad, aunado a la planeación del presupuesto que se tiene establecido en los distintos programas que integran la estructura de los servicios de salud y administrativos. Los recursos destinados a cada programa de salud están encaminados a las metas e indicadores establecidos a nivel central, situación que se puede corroborar al verificar el cumplimiento de </w:t>
      </w:r>
      <w:r w:rsidR="00112900" w:rsidRPr="00630DB0">
        <w:rPr>
          <w:szCs w:val="18"/>
        </w:rPr>
        <w:t>estos</w:t>
      </w:r>
      <w:r w:rsidRPr="00630DB0">
        <w:rPr>
          <w:szCs w:val="18"/>
        </w:rPr>
        <w:t xml:space="preserve">; el impacto y destino </w:t>
      </w:r>
      <w:r>
        <w:rPr>
          <w:szCs w:val="18"/>
        </w:rPr>
        <w:t xml:space="preserve">de los </w:t>
      </w:r>
      <w:r w:rsidRPr="00630DB0">
        <w:rPr>
          <w:szCs w:val="18"/>
        </w:rPr>
        <w:t>recurso</w:t>
      </w:r>
      <w:r>
        <w:rPr>
          <w:szCs w:val="18"/>
        </w:rPr>
        <w:t>s</w:t>
      </w:r>
      <w:r w:rsidRPr="00630DB0">
        <w:rPr>
          <w:szCs w:val="18"/>
        </w:rPr>
        <w:t xml:space="preserve"> se ve reflejado</w:t>
      </w:r>
      <w:r>
        <w:rPr>
          <w:szCs w:val="18"/>
        </w:rPr>
        <w:t>s</w:t>
      </w:r>
      <w:r w:rsidRPr="00630DB0">
        <w:rPr>
          <w:szCs w:val="18"/>
        </w:rPr>
        <w:t xml:space="preserve"> en beneficio de la población Tlaxcalteca.</w:t>
      </w:r>
    </w:p>
    <w:p w14:paraId="620EFA19" w14:textId="77777777" w:rsidR="00AC7F8A" w:rsidRPr="00630DB0" w:rsidRDefault="00AC7F8A" w:rsidP="00AC7F8A">
      <w:pPr>
        <w:pStyle w:val="Texto"/>
        <w:spacing w:after="0" w:line="240" w:lineRule="exact"/>
        <w:rPr>
          <w:szCs w:val="18"/>
        </w:rPr>
      </w:pPr>
    </w:p>
    <w:p w14:paraId="620EFA1A" w14:textId="77777777" w:rsidR="00AC7F8A" w:rsidRPr="00630DB0" w:rsidRDefault="00AC7F8A" w:rsidP="00AC7F8A">
      <w:pPr>
        <w:pStyle w:val="Texto"/>
        <w:spacing w:after="0" w:line="240" w:lineRule="exact"/>
        <w:rPr>
          <w:b/>
          <w:szCs w:val="18"/>
          <w:lang w:val="es-MX"/>
        </w:rPr>
      </w:pPr>
      <w:r w:rsidRPr="00630DB0">
        <w:rPr>
          <w:b/>
          <w:szCs w:val="18"/>
          <w:lang w:val="es-MX"/>
        </w:rPr>
        <w:t>Autorización e Historia</w:t>
      </w:r>
    </w:p>
    <w:p w14:paraId="620EFA1B" w14:textId="73561466" w:rsidR="00AC7F8A" w:rsidRPr="00630DB0" w:rsidRDefault="00AC7F8A" w:rsidP="00AC7F8A">
      <w:pPr>
        <w:pStyle w:val="Texto"/>
        <w:spacing w:after="0" w:line="240" w:lineRule="exact"/>
        <w:ind w:left="284" w:firstLine="4"/>
        <w:rPr>
          <w:szCs w:val="18"/>
        </w:rPr>
      </w:pPr>
      <w:r w:rsidRPr="00630DB0">
        <w:rPr>
          <w:szCs w:val="18"/>
        </w:rPr>
        <w:t>Salud de Tlaxcala fue creada como un Organismo Público Descentralizado mediante Decreto publicado en el Periódico Oficial del Estado de Tlaxcala el 05 de noviembre de 1996</w:t>
      </w:r>
      <w:r w:rsidR="003966F6">
        <w:rPr>
          <w:szCs w:val="18"/>
        </w:rPr>
        <w:t>,</w:t>
      </w:r>
      <w:r w:rsidRPr="00630DB0">
        <w:rPr>
          <w:szCs w:val="18"/>
        </w:rPr>
        <w:t xml:space="preserve"> el cual fue derogado por la Ley de Salud del Estado de Tlaxcala de fecha 10 de noviembre del 2000 y que a la fecha se encuentra vigente.</w:t>
      </w:r>
    </w:p>
    <w:p w14:paraId="620EFA1C" w14:textId="77777777" w:rsidR="00AC7F8A" w:rsidRPr="00630DB0" w:rsidRDefault="00AC7F8A" w:rsidP="00AC7F8A">
      <w:pPr>
        <w:pStyle w:val="INCISO"/>
        <w:spacing w:after="0" w:line="240" w:lineRule="exact"/>
      </w:pPr>
    </w:p>
    <w:p w14:paraId="620EFA1D" w14:textId="77777777" w:rsidR="00AC7F8A" w:rsidRPr="00630DB0" w:rsidRDefault="00AC7F8A" w:rsidP="00AC7F8A">
      <w:pPr>
        <w:pStyle w:val="Texto"/>
        <w:spacing w:after="0" w:line="240" w:lineRule="exact"/>
        <w:rPr>
          <w:b/>
          <w:szCs w:val="18"/>
          <w:lang w:val="es-MX"/>
        </w:rPr>
      </w:pPr>
      <w:r w:rsidRPr="00630DB0">
        <w:rPr>
          <w:b/>
          <w:szCs w:val="18"/>
          <w:lang w:val="es-MX"/>
        </w:rPr>
        <w:t>Organización y Objeto Social</w:t>
      </w:r>
    </w:p>
    <w:p w14:paraId="620EFA1E" w14:textId="21F7D29E" w:rsidR="00AC7F8A" w:rsidRDefault="00AC7F8A" w:rsidP="00AC7F8A">
      <w:pPr>
        <w:pStyle w:val="Texto"/>
        <w:spacing w:after="0" w:line="240" w:lineRule="exact"/>
        <w:ind w:left="288" w:firstLine="0"/>
        <w:rPr>
          <w:szCs w:val="18"/>
        </w:rPr>
      </w:pPr>
      <w:r w:rsidRPr="00B22AAD">
        <w:rPr>
          <w:b/>
          <w:szCs w:val="18"/>
        </w:rPr>
        <w:t>Salud de Tlaxcala</w:t>
      </w:r>
      <w:r w:rsidRPr="00C53075">
        <w:rPr>
          <w:szCs w:val="18"/>
        </w:rPr>
        <w:t xml:space="preserve"> es un Organismo Público Descentralizado encarga</w:t>
      </w:r>
      <w:r>
        <w:rPr>
          <w:szCs w:val="18"/>
        </w:rPr>
        <w:t>do</w:t>
      </w:r>
      <w:r w:rsidRPr="00C53075">
        <w:rPr>
          <w:szCs w:val="18"/>
        </w:rPr>
        <w:t xml:space="preserve"> de </w:t>
      </w:r>
      <w:r>
        <w:rPr>
          <w:szCs w:val="18"/>
        </w:rPr>
        <w:t>p</w:t>
      </w:r>
      <w:r w:rsidRPr="00C53075">
        <w:rPr>
          <w:szCs w:val="18"/>
        </w:rPr>
        <w:t xml:space="preserve">romover la </w:t>
      </w:r>
      <w:r>
        <w:rPr>
          <w:szCs w:val="18"/>
        </w:rPr>
        <w:t>s</w:t>
      </w:r>
      <w:r w:rsidRPr="00C53075">
        <w:rPr>
          <w:szCs w:val="18"/>
        </w:rPr>
        <w:t xml:space="preserve">alud, </w:t>
      </w:r>
      <w:r>
        <w:rPr>
          <w:szCs w:val="18"/>
        </w:rPr>
        <w:t>p</w:t>
      </w:r>
      <w:r w:rsidRPr="00C53075">
        <w:rPr>
          <w:szCs w:val="18"/>
        </w:rPr>
        <w:t>revenir y atender enfermedad</w:t>
      </w:r>
      <w:r>
        <w:rPr>
          <w:szCs w:val="18"/>
        </w:rPr>
        <w:t>es</w:t>
      </w:r>
      <w:r w:rsidRPr="00C53075">
        <w:rPr>
          <w:szCs w:val="18"/>
        </w:rPr>
        <w:t xml:space="preserve"> </w:t>
      </w:r>
      <w:r>
        <w:rPr>
          <w:szCs w:val="18"/>
        </w:rPr>
        <w:t>a través</w:t>
      </w:r>
      <w:r w:rsidRPr="00C53075">
        <w:rPr>
          <w:szCs w:val="18"/>
        </w:rPr>
        <w:t xml:space="preserve"> de </w:t>
      </w:r>
      <w:r>
        <w:rPr>
          <w:szCs w:val="18"/>
        </w:rPr>
        <w:t>m</w:t>
      </w:r>
      <w:r w:rsidRPr="00C53075">
        <w:rPr>
          <w:szCs w:val="18"/>
        </w:rPr>
        <w:t xml:space="preserve">edicina </w:t>
      </w:r>
      <w:r>
        <w:rPr>
          <w:szCs w:val="18"/>
        </w:rPr>
        <w:t>p</w:t>
      </w:r>
      <w:r w:rsidRPr="00C53075">
        <w:rPr>
          <w:szCs w:val="18"/>
        </w:rPr>
        <w:t xml:space="preserve">reventiva, </w:t>
      </w:r>
      <w:r>
        <w:rPr>
          <w:szCs w:val="18"/>
        </w:rPr>
        <w:t>m</w:t>
      </w:r>
      <w:r w:rsidRPr="00C53075">
        <w:rPr>
          <w:szCs w:val="18"/>
        </w:rPr>
        <w:t xml:space="preserve">edicina </w:t>
      </w:r>
      <w:r>
        <w:rPr>
          <w:szCs w:val="18"/>
        </w:rPr>
        <w:t>g</w:t>
      </w:r>
      <w:r w:rsidRPr="00C53075">
        <w:rPr>
          <w:szCs w:val="18"/>
        </w:rPr>
        <w:t xml:space="preserve">eneral y </w:t>
      </w:r>
      <w:r>
        <w:rPr>
          <w:szCs w:val="18"/>
        </w:rPr>
        <w:t>d</w:t>
      </w:r>
      <w:r w:rsidRPr="00C53075">
        <w:rPr>
          <w:szCs w:val="18"/>
        </w:rPr>
        <w:t xml:space="preserve">iferentes </w:t>
      </w:r>
      <w:r>
        <w:rPr>
          <w:szCs w:val="18"/>
        </w:rPr>
        <w:t>e</w:t>
      </w:r>
      <w:r w:rsidRPr="00C53075">
        <w:rPr>
          <w:szCs w:val="18"/>
        </w:rPr>
        <w:t xml:space="preserve">specialidades, </w:t>
      </w:r>
      <w:r>
        <w:rPr>
          <w:szCs w:val="18"/>
        </w:rPr>
        <w:t xml:space="preserve">procurando </w:t>
      </w:r>
      <w:r w:rsidRPr="00C53075">
        <w:rPr>
          <w:szCs w:val="18"/>
        </w:rPr>
        <w:t xml:space="preserve">siempre una atención </w:t>
      </w:r>
      <w:r>
        <w:rPr>
          <w:szCs w:val="18"/>
        </w:rPr>
        <w:t>e</w:t>
      </w:r>
      <w:r w:rsidRPr="00C53075">
        <w:rPr>
          <w:szCs w:val="18"/>
        </w:rPr>
        <w:t xml:space="preserve">ficiente, </w:t>
      </w:r>
      <w:r w:rsidR="00B86E68">
        <w:rPr>
          <w:szCs w:val="18"/>
        </w:rPr>
        <w:t>de</w:t>
      </w:r>
      <w:r w:rsidRPr="00C53075">
        <w:rPr>
          <w:szCs w:val="18"/>
        </w:rPr>
        <w:t xml:space="preserve"> </w:t>
      </w:r>
      <w:r>
        <w:rPr>
          <w:szCs w:val="18"/>
        </w:rPr>
        <w:t>c</w:t>
      </w:r>
      <w:r w:rsidRPr="00C53075">
        <w:rPr>
          <w:szCs w:val="18"/>
        </w:rPr>
        <w:t xml:space="preserve">alidad y </w:t>
      </w:r>
      <w:r>
        <w:rPr>
          <w:szCs w:val="18"/>
        </w:rPr>
        <w:t>o</w:t>
      </w:r>
      <w:r w:rsidRPr="00C53075">
        <w:rPr>
          <w:szCs w:val="18"/>
        </w:rPr>
        <w:t xml:space="preserve">portuna, para </w:t>
      </w:r>
      <w:r>
        <w:rPr>
          <w:szCs w:val="18"/>
        </w:rPr>
        <w:t xml:space="preserve">el </w:t>
      </w:r>
      <w:r w:rsidRPr="00C53075">
        <w:rPr>
          <w:szCs w:val="18"/>
        </w:rPr>
        <w:t xml:space="preserve">cuidado de </w:t>
      </w:r>
      <w:r>
        <w:rPr>
          <w:szCs w:val="18"/>
        </w:rPr>
        <w:t>la c</w:t>
      </w:r>
      <w:r w:rsidRPr="00C53075">
        <w:rPr>
          <w:szCs w:val="18"/>
        </w:rPr>
        <w:t xml:space="preserve">iudadanía </w:t>
      </w:r>
      <w:r>
        <w:rPr>
          <w:szCs w:val="18"/>
        </w:rPr>
        <w:t>t</w:t>
      </w:r>
      <w:r w:rsidRPr="00C53075">
        <w:rPr>
          <w:szCs w:val="18"/>
        </w:rPr>
        <w:t>laxcalteca.</w:t>
      </w:r>
    </w:p>
    <w:p w14:paraId="620EFA1F" w14:textId="77777777" w:rsidR="00AC7F8A" w:rsidRDefault="00AC7F8A" w:rsidP="00AC7F8A">
      <w:pPr>
        <w:pStyle w:val="Texto"/>
        <w:spacing w:after="0" w:line="240" w:lineRule="exact"/>
        <w:ind w:firstLine="0"/>
        <w:rPr>
          <w:szCs w:val="18"/>
        </w:rPr>
      </w:pPr>
    </w:p>
    <w:p w14:paraId="620EFA20" w14:textId="1AC76C3B" w:rsidR="00AC7F8A" w:rsidRPr="00C53075" w:rsidRDefault="00AC7F8A" w:rsidP="00AC7F8A">
      <w:pPr>
        <w:pStyle w:val="Texto"/>
        <w:spacing w:after="0" w:line="240" w:lineRule="exact"/>
        <w:rPr>
          <w:szCs w:val="18"/>
        </w:rPr>
      </w:pPr>
      <w:r w:rsidRPr="00C53075">
        <w:rPr>
          <w:szCs w:val="18"/>
        </w:rPr>
        <w:t xml:space="preserve">El </w:t>
      </w:r>
      <w:r w:rsidR="00B86E68">
        <w:rPr>
          <w:szCs w:val="18"/>
        </w:rPr>
        <w:t>periodo</w:t>
      </w:r>
      <w:r w:rsidRPr="00C53075">
        <w:rPr>
          <w:szCs w:val="18"/>
        </w:rPr>
        <w:t xml:space="preserve"> que comprende </w:t>
      </w:r>
      <w:r w:rsidR="00897E2F">
        <w:rPr>
          <w:szCs w:val="18"/>
        </w:rPr>
        <w:t>esta</w:t>
      </w:r>
      <w:r w:rsidRPr="00C53075">
        <w:rPr>
          <w:szCs w:val="18"/>
        </w:rPr>
        <w:t xml:space="preserve"> cuenta pública </w:t>
      </w:r>
      <w:r w:rsidR="00B86E68">
        <w:rPr>
          <w:szCs w:val="18"/>
        </w:rPr>
        <w:t>es del</w:t>
      </w:r>
      <w:r w:rsidRPr="00C53075">
        <w:rPr>
          <w:szCs w:val="18"/>
        </w:rPr>
        <w:t xml:space="preserve"> 01 de enero al </w:t>
      </w:r>
      <w:r w:rsidR="00F2754B">
        <w:rPr>
          <w:szCs w:val="18"/>
        </w:rPr>
        <w:t>31</w:t>
      </w:r>
      <w:r w:rsidRPr="00C53075">
        <w:rPr>
          <w:szCs w:val="18"/>
        </w:rPr>
        <w:t xml:space="preserve"> de </w:t>
      </w:r>
      <w:r w:rsidR="00764CB9">
        <w:rPr>
          <w:szCs w:val="18"/>
        </w:rPr>
        <w:t>marzo</w:t>
      </w:r>
      <w:r w:rsidR="00897E2F">
        <w:rPr>
          <w:szCs w:val="18"/>
        </w:rPr>
        <w:t xml:space="preserve"> de 202</w:t>
      </w:r>
      <w:r w:rsidR="00764CB9">
        <w:rPr>
          <w:szCs w:val="18"/>
        </w:rPr>
        <w:t>1</w:t>
      </w:r>
      <w:r w:rsidRPr="00C53075">
        <w:rPr>
          <w:szCs w:val="18"/>
        </w:rPr>
        <w:t>.</w:t>
      </w:r>
    </w:p>
    <w:p w14:paraId="620EFA21" w14:textId="77777777" w:rsidR="00AC7F8A" w:rsidRPr="00C53075" w:rsidRDefault="00AC7F8A" w:rsidP="00AC7F8A">
      <w:pPr>
        <w:pStyle w:val="Texto"/>
        <w:spacing w:after="0" w:line="240" w:lineRule="exact"/>
        <w:rPr>
          <w:szCs w:val="18"/>
        </w:rPr>
      </w:pPr>
      <w:r w:rsidRPr="00C53075">
        <w:rPr>
          <w:szCs w:val="18"/>
        </w:rPr>
        <w:t>Salud de Tlaxcala está constituida como un Organismo Público Descentralizado del Gobierno del Estado de Tlaxcala.</w:t>
      </w:r>
    </w:p>
    <w:p w14:paraId="620EFA22" w14:textId="77777777" w:rsidR="00AC7F8A" w:rsidRPr="00C53075" w:rsidRDefault="00AC7F8A" w:rsidP="00AC7F8A">
      <w:pPr>
        <w:pStyle w:val="Texto"/>
        <w:spacing w:after="0" w:line="240" w:lineRule="exact"/>
        <w:rPr>
          <w:szCs w:val="18"/>
        </w:rPr>
      </w:pPr>
      <w:r w:rsidRPr="00C53075">
        <w:rPr>
          <w:szCs w:val="18"/>
        </w:rPr>
        <w:t>Fiscalmente tiene las siguientes obligaciones</w:t>
      </w:r>
    </w:p>
    <w:p w14:paraId="620EFA23" w14:textId="77777777" w:rsidR="00AC7F8A" w:rsidRPr="00C53075" w:rsidRDefault="00AC7F8A" w:rsidP="00AC7F8A">
      <w:pPr>
        <w:pStyle w:val="Texto"/>
        <w:numPr>
          <w:ilvl w:val="1"/>
          <w:numId w:val="7"/>
        </w:numPr>
        <w:spacing w:after="0" w:line="240" w:lineRule="exact"/>
        <w:rPr>
          <w:szCs w:val="18"/>
        </w:rPr>
      </w:pPr>
      <w:r w:rsidRPr="00C53075">
        <w:rPr>
          <w:szCs w:val="18"/>
        </w:rPr>
        <w:t>Entero de retención de ISR por servicios profesionales.</w:t>
      </w:r>
    </w:p>
    <w:p w14:paraId="620EFA24" w14:textId="77777777" w:rsidR="00AC7F8A" w:rsidRPr="00C53075" w:rsidRDefault="00AC7F8A" w:rsidP="00AC7F8A">
      <w:pPr>
        <w:pStyle w:val="Texto"/>
        <w:numPr>
          <w:ilvl w:val="1"/>
          <w:numId w:val="7"/>
        </w:numPr>
        <w:spacing w:after="0" w:line="240" w:lineRule="exact"/>
        <w:rPr>
          <w:szCs w:val="18"/>
        </w:rPr>
      </w:pPr>
      <w:r w:rsidRPr="00C53075">
        <w:rPr>
          <w:szCs w:val="18"/>
        </w:rPr>
        <w:t>Declaración informativa anual de pagos y retenciones de servicios profesionales. Personas Morales. Impuesto Sobre la Renta.</w:t>
      </w:r>
    </w:p>
    <w:p w14:paraId="620EFA25" w14:textId="77777777" w:rsidR="00AC7F8A" w:rsidRPr="00C53075" w:rsidRDefault="00AC7F8A" w:rsidP="00AC7F8A">
      <w:pPr>
        <w:pStyle w:val="Texto"/>
        <w:numPr>
          <w:ilvl w:val="1"/>
          <w:numId w:val="7"/>
        </w:numPr>
        <w:spacing w:after="0" w:line="240" w:lineRule="exact"/>
        <w:rPr>
          <w:szCs w:val="18"/>
        </w:rPr>
      </w:pPr>
      <w:r w:rsidRPr="00C53075">
        <w:rPr>
          <w:szCs w:val="18"/>
        </w:rPr>
        <w:t>Entero mensual de retenciones de ISR de ingresos por arrendamiento.</w:t>
      </w:r>
    </w:p>
    <w:p w14:paraId="620EFA26" w14:textId="77777777" w:rsidR="00AC7F8A" w:rsidRPr="00C53075" w:rsidRDefault="00AC7F8A" w:rsidP="00AC7F8A">
      <w:pPr>
        <w:pStyle w:val="Texto"/>
        <w:numPr>
          <w:ilvl w:val="1"/>
          <w:numId w:val="7"/>
        </w:numPr>
        <w:spacing w:after="0" w:line="240" w:lineRule="exact"/>
        <w:rPr>
          <w:szCs w:val="18"/>
        </w:rPr>
      </w:pPr>
      <w:r w:rsidRPr="00C53075">
        <w:rPr>
          <w:szCs w:val="18"/>
        </w:rPr>
        <w:t>Entero de retenciones mensuales de ISR por sueldos y salarios.</w:t>
      </w:r>
    </w:p>
    <w:p w14:paraId="620EFA27" w14:textId="77777777" w:rsidR="00AC7F8A" w:rsidRPr="00C53075" w:rsidRDefault="00AC7F8A" w:rsidP="00AC7F8A">
      <w:pPr>
        <w:pStyle w:val="Texto"/>
        <w:numPr>
          <w:ilvl w:val="1"/>
          <w:numId w:val="7"/>
        </w:numPr>
        <w:spacing w:after="0" w:line="240" w:lineRule="exact"/>
        <w:rPr>
          <w:szCs w:val="18"/>
        </w:rPr>
      </w:pPr>
      <w:r w:rsidRPr="00C53075">
        <w:rPr>
          <w:szCs w:val="18"/>
        </w:rPr>
        <w:t xml:space="preserve">Declaración informativa anual de retenciones de ISR por arrendamiento de inmuebles. </w:t>
      </w:r>
    </w:p>
    <w:p w14:paraId="620EFA28" w14:textId="77777777" w:rsidR="00AC7F8A" w:rsidRPr="00C53075" w:rsidRDefault="00AC7F8A" w:rsidP="00AC7F8A">
      <w:pPr>
        <w:pStyle w:val="Texto"/>
        <w:numPr>
          <w:ilvl w:val="1"/>
          <w:numId w:val="7"/>
        </w:numPr>
        <w:spacing w:after="0" w:line="240" w:lineRule="exact"/>
        <w:rPr>
          <w:szCs w:val="18"/>
        </w:rPr>
      </w:pPr>
      <w:r w:rsidRPr="00C53075">
        <w:rPr>
          <w:szCs w:val="18"/>
        </w:rPr>
        <w:t xml:space="preserve">Entero de retenciones mensuales de ISR por ingresos asimilados a salarios. </w:t>
      </w:r>
    </w:p>
    <w:p w14:paraId="620EFA29" w14:textId="77777777" w:rsidR="00AC7F8A" w:rsidRDefault="00AC7F8A" w:rsidP="00AC7F8A">
      <w:pPr>
        <w:pStyle w:val="Texto"/>
        <w:spacing w:after="0" w:line="240" w:lineRule="exact"/>
        <w:ind w:firstLine="708"/>
        <w:rPr>
          <w:szCs w:val="18"/>
        </w:rPr>
      </w:pPr>
    </w:p>
    <w:p w14:paraId="620EFA2A" w14:textId="77777777" w:rsidR="00AC7F8A" w:rsidRDefault="00AC7F8A" w:rsidP="00AC7F8A">
      <w:pPr>
        <w:pStyle w:val="Texto"/>
        <w:spacing w:after="0" w:line="240" w:lineRule="exact"/>
        <w:ind w:firstLine="708"/>
        <w:rPr>
          <w:szCs w:val="18"/>
        </w:rPr>
      </w:pPr>
    </w:p>
    <w:p w14:paraId="620EFA2B" w14:textId="77777777" w:rsidR="00AC7F8A" w:rsidRDefault="00AC7F8A" w:rsidP="00AC7F8A">
      <w:pPr>
        <w:pStyle w:val="Texto"/>
        <w:spacing w:after="0" w:line="240" w:lineRule="exact"/>
        <w:ind w:firstLine="708"/>
        <w:rPr>
          <w:szCs w:val="18"/>
        </w:rPr>
      </w:pPr>
    </w:p>
    <w:p w14:paraId="620EFA2C" w14:textId="77777777" w:rsidR="00AC7F8A" w:rsidRDefault="00AC7F8A" w:rsidP="00AC7F8A">
      <w:pPr>
        <w:pStyle w:val="INCISO"/>
        <w:spacing w:after="0" w:line="240" w:lineRule="exact"/>
        <w:ind w:left="284" w:firstLine="0"/>
      </w:pPr>
    </w:p>
    <w:p w14:paraId="620EFA2D" w14:textId="77777777" w:rsidR="00A0339D" w:rsidRDefault="00A0339D" w:rsidP="00AC7F8A">
      <w:pPr>
        <w:pStyle w:val="INCISO"/>
        <w:spacing w:after="0" w:line="240" w:lineRule="exact"/>
        <w:ind w:left="284" w:firstLine="0"/>
      </w:pPr>
    </w:p>
    <w:p w14:paraId="620EFA2E" w14:textId="77777777" w:rsidR="00AC7F8A" w:rsidRPr="00630DB0" w:rsidRDefault="00AC7F8A" w:rsidP="00AC7F8A">
      <w:pPr>
        <w:pStyle w:val="INCISO"/>
        <w:spacing w:after="0" w:line="240" w:lineRule="exact"/>
        <w:ind w:left="284" w:firstLine="0"/>
      </w:pPr>
      <w:r w:rsidRPr="00630DB0">
        <w:t>Estructura organizacional básica</w:t>
      </w:r>
    </w:p>
    <w:p w14:paraId="620EFA2F" w14:textId="77777777" w:rsidR="00AC7F8A" w:rsidRPr="00630DB0" w:rsidRDefault="00AC7F8A" w:rsidP="00AC7F8A">
      <w:pPr>
        <w:pStyle w:val="Texto"/>
        <w:spacing w:after="0" w:line="240" w:lineRule="exact"/>
        <w:ind w:firstLine="708"/>
        <w:rPr>
          <w:szCs w:val="18"/>
        </w:rPr>
      </w:pPr>
      <w:r>
        <w:rPr>
          <w:noProof/>
          <w:lang w:val="es-MX" w:eastAsia="es-MX"/>
        </w:rPr>
        <w:drawing>
          <wp:anchor distT="0" distB="0" distL="114300" distR="114300" simplePos="0" relativeHeight="251673600" behindDoc="0" locked="0" layoutInCell="1" allowOverlap="1" wp14:anchorId="620EFAA2" wp14:editId="620EFAA3">
            <wp:simplePos x="0" y="0"/>
            <wp:positionH relativeFrom="column">
              <wp:posOffset>266065</wp:posOffset>
            </wp:positionH>
            <wp:positionV relativeFrom="paragraph">
              <wp:posOffset>244475</wp:posOffset>
            </wp:positionV>
            <wp:extent cx="8548370" cy="5195570"/>
            <wp:effectExtent l="0" t="0" r="5080" b="508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ueba 3_Org propuesto completo_FINAL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48370" cy="5195570"/>
                    </a:xfrm>
                    <a:prstGeom prst="rect">
                      <a:avLst/>
                    </a:prstGeom>
                  </pic:spPr>
                </pic:pic>
              </a:graphicData>
            </a:graphic>
            <wp14:sizeRelH relativeFrom="page">
              <wp14:pctWidth>0</wp14:pctWidth>
            </wp14:sizeRelH>
            <wp14:sizeRelV relativeFrom="page">
              <wp14:pctHeight>0</wp14:pctHeight>
            </wp14:sizeRelV>
          </wp:anchor>
        </w:drawing>
      </w:r>
    </w:p>
    <w:p w14:paraId="620EFA30" w14:textId="77777777" w:rsidR="00AC7F8A" w:rsidRPr="00630DB0" w:rsidRDefault="00AC7F8A" w:rsidP="00AC7F8A">
      <w:pPr>
        <w:pStyle w:val="Texto"/>
        <w:spacing w:after="0" w:line="240" w:lineRule="exact"/>
        <w:ind w:firstLine="708"/>
        <w:rPr>
          <w:szCs w:val="18"/>
        </w:rPr>
      </w:pPr>
    </w:p>
    <w:p w14:paraId="620EFA31" w14:textId="77777777" w:rsidR="00AC7F8A" w:rsidRDefault="00AC7F8A" w:rsidP="00AC7F8A">
      <w:pPr>
        <w:pStyle w:val="INCISO"/>
        <w:spacing w:after="0" w:line="240" w:lineRule="exact"/>
      </w:pPr>
    </w:p>
    <w:p w14:paraId="620EFA32" w14:textId="77777777" w:rsidR="00AC7F8A" w:rsidRPr="00630DB0" w:rsidRDefault="00AC7F8A" w:rsidP="00AC7F8A">
      <w:pPr>
        <w:pStyle w:val="INCISO"/>
        <w:spacing w:after="0" w:line="240" w:lineRule="exact"/>
        <w:ind w:left="284" w:firstLine="0"/>
      </w:pPr>
      <w:r w:rsidRPr="00630DB0">
        <w:t>Salud de Tlaxcala no es fideicomitente o fiduciario de Fideicomisos, mandatos y análogos.</w:t>
      </w:r>
    </w:p>
    <w:p w14:paraId="620EFA33" w14:textId="77777777" w:rsidR="00AC7F8A" w:rsidRPr="00630DB0" w:rsidRDefault="00AC7F8A" w:rsidP="00AC7F8A">
      <w:pPr>
        <w:pStyle w:val="INCISO"/>
        <w:spacing w:after="0" w:line="240" w:lineRule="exact"/>
      </w:pPr>
    </w:p>
    <w:p w14:paraId="620EFA34" w14:textId="77777777" w:rsidR="00AC7F8A" w:rsidRDefault="00AC7F8A" w:rsidP="00AC7F8A">
      <w:pPr>
        <w:pStyle w:val="Texto"/>
        <w:spacing w:after="0" w:line="240" w:lineRule="exact"/>
        <w:rPr>
          <w:b/>
          <w:szCs w:val="18"/>
          <w:lang w:val="es-MX"/>
        </w:rPr>
      </w:pPr>
    </w:p>
    <w:p w14:paraId="620EFA35" w14:textId="77777777" w:rsidR="00AC7F8A" w:rsidRPr="00630DB0" w:rsidRDefault="00AC7F8A" w:rsidP="00AC7F8A">
      <w:pPr>
        <w:pStyle w:val="Texto"/>
        <w:spacing w:after="0" w:line="240" w:lineRule="exact"/>
        <w:rPr>
          <w:b/>
          <w:szCs w:val="18"/>
          <w:lang w:val="es-MX"/>
        </w:rPr>
      </w:pPr>
      <w:r w:rsidRPr="00630DB0">
        <w:rPr>
          <w:b/>
          <w:szCs w:val="18"/>
          <w:lang w:val="es-MX"/>
        </w:rPr>
        <w:t>Bases de Preparación de los Estados Financieros</w:t>
      </w:r>
    </w:p>
    <w:p w14:paraId="620EFA36" w14:textId="77777777" w:rsidR="00AC7F8A" w:rsidRPr="00C66A86" w:rsidRDefault="00AC7F8A" w:rsidP="00AC7F8A">
      <w:pPr>
        <w:spacing w:after="0" w:line="240" w:lineRule="auto"/>
        <w:ind w:left="284"/>
        <w:outlineLvl w:val="1"/>
        <w:rPr>
          <w:rFonts w:ascii="Arial" w:hAnsi="Arial" w:cs="Arial"/>
          <w:sz w:val="18"/>
          <w:szCs w:val="18"/>
        </w:rPr>
      </w:pPr>
      <w:r w:rsidRPr="00C66A86">
        <w:rPr>
          <w:rFonts w:ascii="Arial" w:hAnsi="Arial" w:cs="Arial"/>
          <w:sz w:val="18"/>
          <w:szCs w:val="18"/>
        </w:rPr>
        <w:t xml:space="preserve">Para la preparación de los presentes Estados Financieros se ha adoptado la normatividad emitida por el </w:t>
      </w:r>
      <w:r w:rsidRPr="00C66A86">
        <w:rPr>
          <w:rFonts w:ascii="Arial" w:eastAsia="Times New Roman" w:hAnsi="Arial" w:cs="Arial"/>
          <w:bCs/>
          <w:sz w:val="18"/>
          <w:szCs w:val="18"/>
          <w:lang w:val="es-ES" w:eastAsia="es-ES"/>
        </w:rPr>
        <w:t>Consejo Nacional de Armonización Contable (</w:t>
      </w:r>
      <w:r w:rsidRPr="00C66A86">
        <w:rPr>
          <w:rFonts w:ascii="Arial" w:hAnsi="Arial" w:cs="Arial"/>
          <w:sz w:val="18"/>
          <w:szCs w:val="18"/>
        </w:rPr>
        <w:t xml:space="preserve">CONAC) y las disposiciones legales aplicables. </w:t>
      </w:r>
    </w:p>
    <w:p w14:paraId="620EFA37" w14:textId="2D7457E5" w:rsidR="00AC7F8A" w:rsidRPr="00C66A86" w:rsidRDefault="00AC7F8A" w:rsidP="00AC7F8A">
      <w:pPr>
        <w:spacing w:after="0" w:line="240" w:lineRule="auto"/>
        <w:ind w:left="284"/>
        <w:outlineLvl w:val="1"/>
        <w:rPr>
          <w:rFonts w:ascii="Arial" w:hAnsi="Arial" w:cs="Arial"/>
          <w:sz w:val="18"/>
          <w:szCs w:val="18"/>
        </w:rPr>
      </w:pPr>
      <w:r w:rsidRPr="00C66A86">
        <w:rPr>
          <w:rFonts w:ascii="Arial" w:hAnsi="Arial" w:cs="Arial"/>
          <w:sz w:val="18"/>
          <w:szCs w:val="18"/>
        </w:rPr>
        <w:t xml:space="preserve">La normatividad aplicada para el reconocimiento, valuación y revelación de los diferentes rubros de la información financiera, así como las bases de medición utilizadas para la elaboración de los estados financieros corresponden a la normatividad emitida por el </w:t>
      </w:r>
      <w:r w:rsidRPr="00C66A86">
        <w:rPr>
          <w:rFonts w:ascii="Arial" w:eastAsia="Times New Roman" w:hAnsi="Arial" w:cs="Arial"/>
          <w:bCs/>
          <w:sz w:val="18"/>
          <w:szCs w:val="18"/>
          <w:lang w:val="es-ES" w:eastAsia="es-ES"/>
        </w:rPr>
        <w:t xml:space="preserve">Consejo Nacional de Armonización Contable </w:t>
      </w:r>
      <w:r>
        <w:rPr>
          <w:rFonts w:ascii="Arial" w:eastAsia="Times New Roman" w:hAnsi="Arial" w:cs="Arial"/>
          <w:bCs/>
          <w:sz w:val="18"/>
          <w:szCs w:val="18"/>
          <w:lang w:val="es-ES" w:eastAsia="es-ES"/>
        </w:rPr>
        <w:t>(</w:t>
      </w:r>
      <w:r w:rsidRPr="00C66A86">
        <w:rPr>
          <w:rFonts w:ascii="Arial" w:hAnsi="Arial" w:cs="Arial"/>
          <w:sz w:val="18"/>
          <w:szCs w:val="18"/>
        </w:rPr>
        <w:t>CONAC</w:t>
      </w:r>
      <w:r>
        <w:rPr>
          <w:rFonts w:ascii="Arial" w:hAnsi="Arial" w:cs="Arial"/>
          <w:sz w:val="18"/>
          <w:szCs w:val="18"/>
        </w:rPr>
        <w:t>)</w:t>
      </w:r>
      <w:r w:rsidR="00A30021">
        <w:rPr>
          <w:rFonts w:ascii="Arial" w:hAnsi="Arial" w:cs="Arial"/>
          <w:sz w:val="18"/>
          <w:szCs w:val="18"/>
        </w:rPr>
        <w:t>.</w:t>
      </w:r>
    </w:p>
    <w:p w14:paraId="620EFA38" w14:textId="77777777" w:rsidR="00AC7F8A" w:rsidRPr="00C66A86" w:rsidRDefault="00AC7F8A" w:rsidP="00AC7F8A">
      <w:pPr>
        <w:pStyle w:val="INCISO"/>
        <w:spacing w:after="0" w:line="240" w:lineRule="exact"/>
        <w:ind w:left="0" w:firstLine="284"/>
      </w:pPr>
      <w:r w:rsidRPr="00C66A86">
        <w:t>Los Postulados básicos considerados fueron:</w:t>
      </w:r>
    </w:p>
    <w:p w14:paraId="620EFA39" w14:textId="27933972" w:rsidR="00AC7F8A" w:rsidRPr="00C66A86" w:rsidRDefault="00AC7F8A" w:rsidP="00AC7F8A">
      <w:pPr>
        <w:pStyle w:val="INCISO"/>
        <w:spacing w:after="0" w:line="240" w:lineRule="exact"/>
        <w:ind w:left="709" w:firstLine="0"/>
      </w:pPr>
      <w:r w:rsidRPr="00C66A86">
        <w:t>1)</w:t>
      </w:r>
      <w:r>
        <w:t xml:space="preserve"> </w:t>
      </w:r>
      <w:r w:rsidRPr="00C66A86">
        <w:t>Sustancia Económica</w:t>
      </w:r>
      <w:r w:rsidR="003966F6">
        <w:t>.</w:t>
      </w:r>
    </w:p>
    <w:p w14:paraId="620EFA3A" w14:textId="560F9DE2" w:rsidR="00AC7F8A" w:rsidRPr="00C66A86" w:rsidRDefault="00AC7F8A" w:rsidP="00AC7F8A">
      <w:pPr>
        <w:pStyle w:val="INCISO"/>
        <w:spacing w:after="0" w:line="240" w:lineRule="exact"/>
        <w:ind w:left="709" w:firstLine="0"/>
      </w:pPr>
      <w:r w:rsidRPr="00C66A86">
        <w:t>2) Entes Públicos</w:t>
      </w:r>
      <w:r w:rsidR="003966F6">
        <w:t>.</w:t>
      </w:r>
    </w:p>
    <w:p w14:paraId="620EFA3B" w14:textId="3028CE47" w:rsidR="00AC7F8A" w:rsidRPr="00C66A86" w:rsidRDefault="00AC7F8A" w:rsidP="00AC7F8A">
      <w:pPr>
        <w:pStyle w:val="INCISO"/>
        <w:spacing w:after="0" w:line="240" w:lineRule="exact"/>
        <w:ind w:left="709" w:firstLine="0"/>
      </w:pPr>
      <w:r w:rsidRPr="00C66A86">
        <w:t>3) Existencia Permanente</w:t>
      </w:r>
      <w:r w:rsidR="003966F6">
        <w:t>.</w:t>
      </w:r>
    </w:p>
    <w:p w14:paraId="620EFA3C" w14:textId="287E5834" w:rsidR="00AC7F8A" w:rsidRPr="00C66A86" w:rsidRDefault="00AC7F8A" w:rsidP="00AC7F8A">
      <w:pPr>
        <w:pStyle w:val="INCISO"/>
        <w:spacing w:after="0" w:line="240" w:lineRule="exact"/>
        <w:ind w:left="709" w:firstLine="0"/>
      </w:pPr>
      <w:r w:rsidRPr="00C66A86">
        <w:t>4) Revelación Suficiente</w:t>
      </w:r>
      <w:r w:rsidR="003966F6">
        <w:t>.</w:t>
      </w:r>
    </w:p>
    <w:p w14:paraId="620EFA3D" w14:textId="120A97A3" w:rsidR="00AC7F8A" w:rsidRPr="00630DB0" w:rsidRDefault="00AC7F8A" w:rsidP="00AC7F8A">
      <w:pPr>
        <w:pStyle w:val="INCISO"/>
        <w:spacing w:after="0" w:line="240" w:lineRule="exact"/>
        <w:ind w:left="709" w:firstLine="0"/>
      </w:pPr>
      <w:r w:rsidRPr="00630DB0">
        <w:t>5) Importancia Relativa</w:t>
      </w:r>
      <w:r w:rsidR="003966F6">
        <w:t>.</w:t>
      </w:r>
    </w:p>
    <w:p w14:paraId="620EFA3E" w14:textId="3B680C66" w:rsidR="00AC7F8A" w:rsidRPr="00630DB0" w:rsidRDefault="00AC7F8A" w:rsidP="00AC7F8A">
      <w:pPr>
        <w:pStyle w:val="INCISO"/>
        <w:spacing w:after="0" w:line="240" w:lineRule="exact"/>
        <w:ind w:left="709" w:firstLine="0"/>
      </w:pPr>
      <w:r w:rsidRPr="00630DB0">
        <w:t>6) Registro e Integración Presupuestaria</w:t>
      </w:r>
      <w:r w:rsidR="003966F6">
        <w:t>.</w:t>
      </w:r>
    </w:p>
    <w:p w14:paraId="620EFA3F" w14:textId="21B08A23" w:rsidR="00AC7F8A" w:rsidRPr="00630DB0" w:rsidRDefault="00AC7F8A" w:rsidP="00AC7F8A">
      <w:pPr>
        <w:pStyle w:val="INCISO"/>
        <w:spacing w:after="0" w:line="240" w:lineRule="exact"/>
        <w:ind w:left="709" w:firstLine="0"/>
      </w:pPr>
      <w:r w:rsidRPr="00630DB0">
        <w:t>7) Consolidación de la Información Financiera</w:t>
      </w:r>
      <w:r w:rsidR="003966F6">
        <w:t>.</w:t>
      </w:r>
    </w:p>
    <w:p w14:paraId="620EFA40" w14:textId="0CB01578" w:rsidR="00AC7F8A" w:rsidRPr="00630DB0" w:rsidRDefault="00AC7F8A" w:rsidP="00AC7F8A">
      <w:pPr>
        <w:pStyle w:val="INCISO"/>
        <w:spacing w:after="0" w:line="240" w:lineRule="exact"/>
        <w:ind w:left="709" w:firstLine="0"/>
      </w:pPr>
      <w:r w:rsidRPr="00630DB0">
        <w:t>8) Devengo Contable</w:t>
      </w:r>
      <w:r w:rsidR="003966F6">
        <w:t>.</w:t>
      </w:r>
    </w:p>
    <w:p w14:paraId="620EFA41" w14:textId="5A344B46" w:rsidR="00AC7F8A" w:rsidRPr="00630DB0" w:rsidRDefault="00AC7F8A" w:rsidP="00AC7F8A">
      <w:pPr>
        <w:pStyle w:val="INCISO"/>
        <w:tabs>
          <w:tab w:val="left" w:pos="3450"/>
        </w:tabs>
        <w:spacing w:after="0" w:line="240" w:lineRule="exact"/>
        <w:ind w:left="709" w:firstLine="0"/>
      </w:pPr>
      <w:r w:rsidRPr="00630DB0">
        <w:t>9) Valuación</w:t>
      </w:r>
      <w:r w:rsidR="003966F6">
        <w:t>.</w:t>
      </w:r>
    </w:p>
    <w:p w14:paraId="620EFA42" w14:textId="23389C7D" w:rsidR="00AC7F8A" w:rsidRPr="00630DB0" w:rsidRDefault="00AC7F8A" w:rsidP="00AC7F8A">
      <w:pPr>
        <w:pStyle w:val="INCISO"/>
        <w:spacing w:after="0" w:line="240" w:lineRule="exact"/>
        <w:ind w:left="709" w:firstLine="0"/>
      </w:pPr>
      <w:r w:rsidRPr="00630DB0">
        <w:t>10) Dualidad Económica</w:t>
      </w:r>
      <w:r w:rsidR="003966F6">
        <w:t>.</w:t>
      </w:r>
    </w:p>
    <w:p w14:paraId="620EFA43" w14:textId="4DD83C01" w:rsidR="00AC7F8A" w:rsidRPr="00630DB0" w:rsidRDefault="00AC7F8A" w:rsidP="00AC7F8A">
      <w:pPr>
        <w:pStyle w:val="INCISO"/>
        <w:spacing w:after="0" w:line="240" w:lineRule="exact"/>
        <w:ind w:left="709" w:firstLine="0"/>
      </w:pPr>
      <w:r w:rsidRPr="00630DB0">
        <w:t>11) Consistencia</w:t>
      </w:r>
      <w:r w:rsidR="003966F6">
        <w:t>.</w:t>
      </w:r>
    </w:p>
    <w:p w14:paraId="620EFA44" w14:textId="7B82CEF9" w:rsidR="00AC7F8A" w:rsidRPr="00630DB0" w:rsidRDefault="00AC7F8A" w:rsidP="00AC7F8A">
      <w:pPr>
        <w:pStyle w:val="INCISO"/>
        <w:spacing w:after="0" w:line="240" w:lineRule="exact"/>
        <w:ind w:left="284" w:firstLine="0"/>
      </w:pPr>
      <w:r w:rsidRPr="00630DB0">
        <w:t>Para la preparación de los Estados Financieros no se ocupó normatividad supletoria</w:t>
      </w:r>
      <w:r w:rsidR="003966F6">
        <w:t>.</w:t>
      </w:r>
    </w:p>
    <w:p w14:paraId="620EFA45" w14:textId="77777777" w:rsidR="00AC7F8A" w:rsidRPr="00630DB0" w:rsidRDefault="00AC7F8A" w:rsidP="00AC7F8A">
      <w:pPr>
        <w:pStyle w:val="Texto"/>
        <w:spacing w:after="0" w:line="240" w:lineRule="exact"/>
        <w:ind w:left="1440" w:hanging="360"/>
        <w:rPr>
          <w:szCs w:val="18"/>
        </w:rPr>
      </w:pPr>
    </w:p>
    <w:p w14:paraId="620EFA46" w14:textId="77777777" w:rsidR="00AC7F8A" w:rsidRPr="00630DB0" w:rsidRDefault="00AC7F8A" w:rsidP="00AC7F8A">
      <w:pPr>
        <w:pStyle w:val="Texto"/>
        <w:spacing w:after="0" w:line="240" w:lineRule="exact"/>
        <w:rPr>
          <w:b/>
          <w:szCs w:val="18"/>
          <w:lang w:val="es-MX"/>
        </w:rPr>
      </w:pPr>
      <w:r w:rsidRPr="00630DB0">
        <w:rPr>
          <w:b/>
          <w:szCs w:val="18"/>
          <w:lang w:val="es-MX"/>
        </w:rPr>
        <w:t>Políticas de Contabilidad Significativas</w:t>
      </w:r>
    </w:p>
    <w:p w14:paraId="620EFA47" w14:textId="165D57EB" w:rsidR="00AC7F8A" w:rsidRPr="00630DB0" w:rsidRDefault="00AC7F8A" w:rsidP="00AC7F8A">
      <w:pPr>
        <w:pStyle w:val="Texto"/>
        <w:spacing w:after="0" w:line="240" w:lineRule="exact"/>
        <w:rPr>
          <w:szCs w:val="18"/>
        </w:rPr>
      </w:pPr>
    </w:p>
    <w:p w14:paraId="620EFA48" w14:textId="68593ABB" w:rsidR="00AC7F8A" w:rsidRPr="00630DB0" w:rsidRDefault="00AC7F8A" w:rsidP="00AC7F8A">
      <w:pPr>
        <w:pStyle w:val="INCISO"/>
        <w:spacing w:after="0" w:line="240" w:lineRule="exact"/>
      </w:pPr>
      <w:r w:rsidRPr="00630DB0">
        <w:t>a)</w:t>
      </w:r>
      <w:r w:rsidRPr="00630DB0">
        <w:tab/>
      </w:r>
      <w:r w:rsidRPr="001B03C7">
        <w:t>El valor de los bienes muebles del ejercicio 2015 y anteriores se encuentran conforme al valor asignado por valuación</w:t>
      </w:r>
      <w:r w:rsidR="002E5ED2">
        <w:t xml:space="preserve"> efectuada durante el</w:t>
      </w:r>
      <w:r w:rsidR="003966F6">
        <w:t xml:space="preserve"> mismo</w:t>
      </w:r>
      <w:r w:rsidR="002E5ED2">
        <w:t xml:space="preserve"> ejercicio</w:t>
      </w:r>
      <w:r w:rsidRPr="001B03C7">
        <w:t>, los</w:t>
      </w:r>
      <w:r w:rsidR="002E5ED2">
        <w:t xml:space="preserve"> bienes muebles</w:t>
      </w:r>
      <w:r w:rsidRPr="001B03C7">
        <w:t xml:space="preserve"> adquiridos en </w:t>
      </w:r>
      <w:r w:rsidR="002E5ED2">
        <w:t>los ejercicios posteriores serán registrados</w:t>
      </w:r>
      <w:r w:rsidRPr="001B03C7">
        <w:t xml:space="preserve"> a valor histórico; el valor de los edificios no habitacionales se encuentra valuado al 30 de junio de 2016 y las obras que</w:t>
      </w:r>
      <w:r>
        <w:t xml:space="preserve"> se concluyan después de esta fecha serán reconocidas al valor de construcción.</w:t>
      </w:r>
    </w:p>
    <w:p w14:paraId="620EFA49" w14:textId="77777777" w:rsidR="00AC7F8A" w:rsidRPr="00630DB0" w:rsidRDefault="00AC7F8A" w:rsidP="00AC7F8A">
      <w:pPr>
        <w:pStyle w:val="INCISO"/>
        <w:spacing w:after="0" w:line="240" w:lineRule="exact"/>
      </w:pPr>
      <w:r w:rsidRPr="00630DB0">
        <w:t>b)</w:t>
      </w:r>
      <w:r w:rsidRPr="00630DB0">
        <w:tab/>
        <w:t>No se realizaron operaciones en el extranjero.</w:t>
      </w:r>
    </w:p>
    <w:p w14:paraId="620EFA4A" w14:textId="77777777" w:rsidR="00AC7F8A" w:rsidRPr="00630DB0" w:rsidRDefault="00AC7F8A" w:rsidP="00AC7F8A">
      <w:pPr>
        <w:pStyle w:val="INCISO"/>
        <w:spacing w:after="0" w:line="240" w:lineRule="exact"/>
      </w:pPr>
      <w:r w:rsidRPr="00630DB0">
        <w:t>c)</w:t>
      </w:r>
      <w:r w:rsidRPr="00630DB0">
        <w:tab/>
        <w:t>No se realiza inversión en acciones en el Sector Paraestatal.</w:t>
      </w:r>
    </w:p>
    <w:p w14:paraId="620EFA4B" w14:textId="77777777" w:rsidR="00AC7F8A" w:rsidRPr="00630DB0" w:rsidRDefault="00AC7F8A" w:rsidP="00AC7F8A">
      <w:pPr>
        <w:pStyle w:val="INCISO"/>
        <w:spacing w:after="0" w:line="240" w:lineRule="exact"/>
      </w:pPr>
      <w:r w:rsidRPr="00630DB0">
        <w:t>d)</w:t>
      </w:r>
      <w:r w:rsidRPr="00630DB0">
        <w:tab/>
        <w:t>El método de valuación de inventarios</w:t>
      </w:r>
      <w:r>
        <w:t xml:space="preserve"> de materiales</w:t>
      </w:r>
      <w:r w:rsidRPr="00630DB0">
        <w:t xml:space="preserve"> es </w:t>
      </w:r>
      <w:r>
        <w:t>primeras entradas primeras salidas</w:t>
      </w:r>
      <w:r w:rsidRPr="00630DB0">
        <w:t>.</w:t>
      </w:r>
    </w:p>
    <w:p w14:paraId="279DBE45" w14:textId="5B06C620" w:rsidR="005508C1" w:rsidRDefault="00AC7F8A" w:rsidP="005508C1">
      <w:pPr>
        <w:pStyle w:val="INCISO"/>
        <w:spacing w:after="0" w:line="240" w:lineRule="exact"/>
      </w:pPr>
      <w:r w:rsidRPr="00630DB0">
        <w:t>e)</w:t>
      </w:r>
      <w:r w:rsidRPr="00630DB0">
        <w:tab/>
        <w:t xml:space="preserve">Los beneficios a empleados corresponden al contrato colectivo de trabajo que tienen celebrado la </w:t>
      </w:r>
      <w:r>
        <w:t>Secretarí</w:t>
      </w:r>
      <w:r w:rsidRPr="00630DB0">
        <w:t>a de Salud Federal y el Sindicato Nacional de los Trabajadores de la Secretar</w:t>
      </w:r>
      <w:r w:rsidR="003966F6">
        <w:t>í</w:t>
      </w:r>
      <w:r w:rsidRPr="00630DB0">
        <w:t>a de Salud.</w:t>
      </w:r>
    </w:p>
    <w:p w14:paraId="620EFA4D" w14:textId="3292660B" w:rsidR="00AC7F8A" w:rsidRPr="00630DB0" w:rsidRDefault="00AC7F8A" w:rsidP="005508C1">
      <w:pPr>
        <w:pStyle w:val="INCISO"/>
        <w:spacing w:after="0" w:line="240" w:lineRule="exact"/>
      </w:pPr>
      <w:r w:rsidRPr="00630DB0">
        <w:t>f)</w:t>
      </w:r>
      <w:r w:rsidR="003966F6">
        <w:tab/>
      </w:r>
      <w:r>
        <w:t>No se tiene registrad</w:t>
      </w:r>
      <w:r w:rsidR="003966F6">
        <w:t>a</w:t>
      </w:r>
      <w:r>
        <w:t xml:space="preserve"> una </w:t>
      </w:r>
      <w:r w:rsidRPr="00994CB8">
        <w:t>p</w:t>
      </w:r>
      <w:r>
        <w:t>rovisión</w:t>
      </w:r>
      <w:r w:rsidRPr="00994CB8">
        <w:t xml:space="preserve"> </w:t>
      </w:r>
      <w:r>
        <w:t>para pasivos laborales</w:t>
      </w:r>
      <w:r w:rsidR="003966F6">
        <w:t>;</w:t>
      </w:r>
      <w:r w:rsidR="0062599C">
        <w:t xml:space="preserve"> ver nota en </w:t>
      </w:r>
      <w:r w:rsidR="0062599C" w:rsidRPr="003F1C15">
        <w:t>Informe de Pasivos Contingentes</w:t>
      </w:r>
      <w:r w:rsidR="005508C1">
        <w:t>.</w:t>
      </w:r>
    </w:p>
    <w:p w14:paraId="620EFA4E" w14:textId="77777777" w:rsidR="00AC7F8A" w:rsidRPr="00630DB0" w:rsidRDefault="00AC7F8A" w:rsidP="00AC7F8A">
      <w:pPr>
        <w:pStyle w:val="INCISO"/>
        <w:spacing w:after="0" w:line="240" w:lineRule="exact"/>
      </w:pPr>
      <w:r w:rsidRPr="00630DB0">
        <w:t>g)</w:t>
      </w:r>
      <w:r w:rsidRPr="00630DB0">
        <w:tab/>
        <w:t>No se determinaron reservas durante el ejercicio.</w:t>
      </w:r>
    </w:p>
    <w:p w14:paraId="620EFA4F" w14:textId="77777777" w:rsidR="00AC7F8A" w:rsidRPr="00630DB0" w:rsidRDefault="00AC7F8A" w:rsidP="00AC7F8A">
      <w:pPr>
        <w:pStyle w:val="INCISO"/>
        <w:spacing w:after="0" w:line="240" w:lineRule="exact"/>
      </w:pPr>
      <w:r w:rsidRPr="00630DB0">
        <w:t>h)</w:t>
      </w:r>
      <w:r w:rsidRPr="00630DB0">
        <w:tab/>
        <w:t xml:space="preserve">Los cambios en políticas contables corresponden a los establecidos en la Normatividad emitida por la CONAC y la corrección de errores junto con la revelación de los efectos que se tendrá en la información financiera </w:t>
      </w:r>
      <w:r>
        <w:t>fueron</w:t>
      </w:r>
      <w:r w:rsidRPr="00630DB0">
        <w:t xml:space="preserve"> reflejados </w:t>
      </w:r>
      <w:r>
        <w:t>en el</w:t>
      </w:r>
      <w:r w:rsidRPr="00630DB0">
        <w:t xml:space="preserve"> ejercicio </w:t>
      </w:r>
      <w:r>
        <w:t>2017</w:t>
      </w:r>
      <w:r w:rsidRPr="00630DB0">
        <w:t>.</w:t>
      </w:r>
    </w:p>
    <w:p w14:paraId="620EFA50" w14:textId="77777777" w:rsidR="00AC7F8A" w:rsidRPr="00630DB0" w:rsidRDefault="00AC7F8A" w:rsidP="00AC7F8A">
      <w:pPr>
        <w:pStyle w:val="INCISO"/>
        <w:spacing w:after="0" w:line="240" w:lineRule="exact"/>
      </w:pPr>
      <w:r w:rsidRPr="00630DB0">
        <w:t>i)</w:t>
      </w:r>
      <w:r w:rsidRPr="00630DB0">
        <w:tab/>
        <w:t>No se efectuaron reclasificaciones por cambios en los tipos de operaciones.</w:t>
      </w:r>
    </w:p>
    <w:p w14:paraId="620EFA51" w14:textId="77777777" w:rsidR="00AC7F8A" w:rsidRPr="00630DB0" w:rsidRDefault="00AC7F8A" w:rsidP="00AC7F8A">
      <w:pPr>
        <w:pStyle w:val="INCISO"/>
        <w:spacing w:after="0" w:line="240" w:lineRule="exact"/>
      </w:pPr>
      <w:r w:rsidRPr="00630DB0">
        <w:t>j)</w:t>
      </w:r>
      <w:r w:rsidRPr="00630DB0">
        <w:tab/>
      </w:r>
      <w:r w:rsidRPr="00994CB8">
        <w:t>Durante el ejercicio se está efectuando la depuración y cancelación de saldos</w:t>
      </w:r>
      <w:r w:rsidRPr="00630DB0">
        <w:t>.</w:t>
      </w:r>
    </w:p>
    <w:p w14:paraId="27FF5021" w14:textId="77777777" w:rsidR="00E55A88" w:rsidRPr="00630DB0" w:rsidRDefault="00E55A88" w:rsidP="00AC7F8A">
      <w:pPr>
        <w:pStyle w:val="INCISO"/>
        <w:spacing w:after="0" w:line="240" w:lineRule="exact"/>
        <w:ind w:left="0" w:firstLine="0"/>
      </w:pPr>
    </w:p>
    <w:p w14:paraId="620EFA53" w14:textId="77777777" w:rsidR="00AC7F8A" w:rsidRPr="00630DB0" w:rsidRDefault="00AC7F8A" w:rsidP="00AC7F8A">
      <w:pPr>
        <w:pStyle w:val="Texto"/>
        <w:spacing w:after="0" w:line="240" w:lineRule="exact"/>
        <w:ind w:left="284" w:firstLine="4"/>
        <w:rPr>
          <w:b/>
          <w:szCs w:val="18"/>
          <w:lang w:val="es-MX"/>
        </w:rPr>
      </w:pPr>
      <w:r w:rsidRPr="00630DB0">
        <w:rPr>
          <w:b/>
          <w:szCs w:val="18"/>
          <w:lang w:val="es-MX"/>
        </w:rPr>
        <w:t>Posición en Moneda Extranjera y Protección por Riesgo Cambiario</w:t>
      </w:r>
    </w:p>
    <w:p w14:paraId="620EFA54" w14:textId="08FF7892"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rPr>
        <w:t>no cuenta con activos o pasivos en moneda extranjera</w:t>
      </w:r>
      <w:r w:rsidR="005508C1">
        <w:rPr>
          <w:szCs w:val="18"/>
        </w:rPr>
        <w:t>.</w:t>
      </w:r>
    </w:p>
    <w:p w14:paraId="620EFA55" w14:textId="77777777" w:rsidR="00AC7F8A" w:rsidRPr="00630DB0" w:rsidRDefault="00AC7F8A" w:rsidP="00AC7F8A">
      <w:pPr>
        <w:pStyle w:val="Texto"/>
        <w:spacing w:after="0" w:line="240" w:lineRule="exact"/>
        <w:rPr>
          <w:szCs w:val="18"/>
        </w:rPr>
      </w:pPr>
    </w:p>
    <w:p w14:paraId="620EFA56" w14:textId="77777777" w:rsidR="00AC7F8A" w:rsidRPr="00630DB0" w:rsidRDefault="00AC7F8A" w:rsidP="00AC7F8A">
      <w:pPr>
        <w:pStyle w:val="Texto"/>
        <w:spacing w:after="0" w:line="240" w:lineRule="exact"/>
        <w:rPr>
          <w:b/>
          <w:szCs w:val="18"/>
          <w:lang w:val="es-MX"/>
        </w:rPr>
      </w:pPr>
      <w:r w:rsidRPr="00630DB0">
        <w:rPr>
          <w:b/>
          <w:szCs w:val="18"/>
          <w:lang w:val="es-MX"/>
        </w:rPr>
        <w:t>Reporte Analítico del Activo</w:t>
      </w:r>
    </w:p>
    <w:p w14:paraId="620EFA57" w14:textId="6B950EC7" w:rsidR="00AC7F8A" w:rsidRPr="00630DB0" w:rsidRDefault="00AC7F8A" w:rsidP="00AC7F8A">
      <w:pPr>
        <w:pStyle w:val="INCISO"/>
        <w:spacing w:after="0" w:line="240" w:lineRule="exact"/>
      </w:pPr>
      <w:r w:rsidRPr="00630DB0">
        <w:t>a)</w:t>
      </w:r>
      <w:r w:rsidRPr="00630DB0">
        <w:tab/>
      </w:r>
      <w:r w:rsidR="002E5ED2">
        <w:t>A la fecha de presentación</w:t>
      </w:r>
      <w:r w:rsidRPr="00B8048F">
        <w:t xml:space="preserve"> no se han realizado depreciaciones de activos.</w:t>
      </w:r>
    </w:p>
    <w:p w14:paraId="620EFA58" w14:textId="77777777" w:rsidR="00AC7F8A" w:rsidRPr="00630DB0" w:rsidRDefault="00AC7F8A" w:rsidP="00AC7F8A">
      <w:pPr>
        <w:pStyle w:val="INCISO"/>
        <w:spacing w:after="0" w:line="240" w:lineRule="exact"/>
      </w:pPr>
      <w:r w:rsidRPr="00630DB0">
        <w:t>b)</w:t>
      </w:r>
      <w:r w:rsidRPr="00630DB0">
        <w:tab/>
        <w:t>No se realizaron cambios en el porcentaje de depreciación o valor residual de los activos como lo explica el inciso a).</w:t>
      </w:r>
    </w:p>
    <w:p w14:paraId="620EFA59" w14:textId="6F8FE2C8" w:rsidR="00AC7F8A" w:rsidRPr="00630DB0" w:rsidRDefault="00AC7F8A" w:rsidP="00AC7F8A">
      <w:pPr>
        <w:pStyle w:val="INCISO"/>
        <w:spacing w:after="0" w:line="240" w:lineRule="exact"/>
      </w:pPr>
      <w:r w:rsidRPr="00630DB0">
        <w:t>c)</w:t>
      </w:r>
      <w:r w:rsidRPr="00630DB0">
        <w:tab/>
        <w:t>No existieron importe</w:t>
      </w:r>
      <w:r w:rsidR="00764CB9">
        <w:t>s</w:t>
      </w:r>
      <w:r w:rsidRPr="00630DB0">
        <w:t xml:space="preserve"> de gastos capitalizados en </w:t>
      </w:r>
      <w:r w:rsidR="00B86E68">
        <w:t>e</w:t>
      </w:r>
      <w:r w:rsidR="0089374A" w:rsidRPr="00630DB0">
        <w:t>l</w:t>
      </w:r>
      <w:r w:rsidRPr="00630DB0">
        <w:t xml:space="preserve"> </w:t>
      </w:r>
      <w:r w:rsidR="003966F6">
        <w:t>periodo</w:t>
      </w:r>
      <w:r w:rsidRPr="00630DB0">
        <w:t>, tanto financieros como de investigación y desarrollo.</w:t>
      </w:r>
    </w:p>
    <w:p w14:paraId="620EFA5A" w14:textId="635CB612" w:rsidR="00AC7F8A" w:rsidRPr="00630DB0" w:rsidRDefault="00AC7F8A" w:rsidP="00AC7F8A">
      <w:pPr>
        <w:pStyle w:val="INCISO"/>
        <w:spacing w:after="0" w:line="240" w:lineRule="exact"/>
      </w:pPr>
      <w:r w:rsidRPr="00630DB0">
        <w:t>d)</w:t>
      </w:r>
      <w:r w:rsidRPr="00630DB0">
        <w:tab/>
        <w:t>No se tuvieron rie</w:t>
      </w:r>
      <w:r w:rsidR="00A30021">
        <w:t>s</w:t>
      </w:r>
      <w:r w:rsidRPr="00630DB0">
        <w:t>gos por tipo de cambio o tipo de interés de las inversiones financieras.</w:t>
      </w:r>
    </w:p>
    <w:p w14:paraId="620EFA5B" w14:textId="50CCFE9C" w:rsidR="00AC7F8A" w:rsidRPr="00630DB0" w:rsidRDefault="00AC7F8A" w:rsidP="00AC7F8A">
      <w:pPr>
        <w:pStyle w:val="INCISO"/>
        <w:spacing w:after="0" w:line="240" w:lineRule="exact"/>
      </w:pPr>
      <w:r w:rsidRPr="00630DB0">
        <w:t>e)</w:t>
      </w:r>
      <w:r w:rsidRPr="00630DB0">
        <w:tab/>
      </w:r>
      <w:r>
        <w:t>No se han realizado</w:t>
      </w:r>
      <w:r w:rsidRPr="00630DB0">
        <w:t xml:space="preserve"> inversiones en Edificios durante el</w:t>
      </w:r>
      <w:r w:rsidR="003966F6">
        <w:t xml:space="preserve"> periodo</w:t>
      </w:r>
      <w:r w:rsidRPr="00630DB0">
        <w:t>.</w:t>
      </w:r>
    </w:p>
    <w:p w14:paraId="620EFA5C" w14:textId="4527BC22" w:rsidR="00AC7F8A" w:rsidRPr="00630DB0" w:rsidRDefault="00AC7F8A" w:rsidP="00AC7F8A">
      <w:pPr>
        <w:pStyle w:val="INCISO"/>
        <w:spacing w:after="0" w:line="240" w:lineRule="exact"/>
      </w:pPr>
      <w:r w:rsidRPr="00630DB0">
        <w:t>f)</w:t>
      </w:r>
      <w:r w:rsidRPr="00630DB0">
        <w:tab/>
      </w:r>
      <w:r>
        <w:t>No se han tenido</w:t>
      </w:r>
      <w:r w:rsidRPr="00630DB0">
        <w:t xml:space="preserve"> circunstancias de carácter significativo que afect</w:t>
      </w:r>
      <w:r>
        <w:t>en</w:t>
      </w:r>
      <w:r w:rsidRPr="00630DB0">
        <w:t xml:space="preserve"> al activo durante el </w:t>
      </w:r>
      <w:r w:rsidR="002E5ED2">
        <w:t xml:space="preserve">presente </w:t>
      </w:r>
      <w:r w:rsidRPr="00630DB0">
        <w:t>ejercicio</w:t>
      </w:r>
      <w:r>
        <w:t>.</w:t>
      </w:r>
    </w:p>
    <w:p w14:paraId="620EFA5D" w14:textId="77777777" w:rsidR="00AC7F8A" w:rsidRPr="00630DB0" w:rsidRDefault="00AC7F8A" w:rsidP="00AC7F8A">
      <w:pPr>
        <w:pStyle w:val="INCISO"/>
        <w:spacing w:after="0" w:line="240" w:lineRule="exact"/>
      </w:pPr>
      <w:r w:rsidRPr="00630DB0">
        <w:t>g)</w:t>
      </w:r>
      <w:r w:rsidRPr="00630DB0">
        <w:tab/>
        <w:t>No se llevaron a cabo desmantelamiento de Activos.</w:t>
      </w:r>
    </w:p>
    <w:p w14:paraId="620EFA5E" w14:textId="77777777" w:rsidR="00AC7F8A" w:rsidRPr="00630DB0" w:rsidRDefault="00AC7F8A" w:rsidP="00AC7F8A">
      <w:pPr>
        <w:pStyle w:val="INCISO"/>
        <w:spacing w:after="0" w:line="240" w:lineRule="exact"/>
        <w:ind w:left="0" w:firstLine="0"/>
      </w:pPr>
    </w:p>
    <w:p w14:paraId="620EFA5F" w14:textId="77777777" w:rsidR="00AC7F8A" w:rsidRPr="00630DB0" w:rsidRDefault="00AC7F8A" w:rsidP="00AC7F8A">
      <w:pPr>
        <w:pStyle w:val="Texto"/>
        <w:spacing w:after="0" w:line="240" w:lineRule="exact"/>
        <w:rPr>
          <w:b/>
          <w:szCs w:val="18"/>
          <w:lang w:val="es-MX"/>
        </w:rPr>
      </w:pPr>
      <w:r w:rsidRPr="00630DB0">
        <w:rPr>
          <w:b/>
          <w:szCs w:val="18"/>
          <w:lang w:val="es-MX"/>
        </w:rPr>
        <w:t>Fideicomisos, Mandatos y Análogos</w:t>
      </w:r>
    </w:p>
    <w:p w14:paraId="620EFA60" w14:textId="77777777"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rPr>
        <w:t>o tiene fideicomisos.</w:t>
      </w:r>
    </w:p>
    <w:p w14:paraId="620EFA61" w14:textId="77777777" w:rsidR="00AC7F8A" w:rsidRPr="00630DB0" w:rsidRDefault="00AC7F8A" w:rsidP="00AC7F8A">
      <w:pPr>
        <w:pStyle w:val="INCISO"/>
        <w:spacing w:after="0" w:line="240" w:lineRule="exact"/>
      </w:pPr>
    </w:p>
    <w:p w14:paraId="620EFA62" w14:textId="77777777" w:rsidR="00AC7F8A" w:rsidRDefault="00AC7F8A" w:rsidP="00AC7F8A">
      <w:pPr>
        <w:pStyle w:val="Texto"/>
        <w:spacing w:after="0" w:line="240" w:lineRule="exact"/>
        <w:rPr>
          <w:b/>
          <w:szCs w:val="18"/>
          <w:lang w:val="es-MX"/>
        </w:rPr>
      </w:pPr>
      <w:r w:rsidRPr="00630DB0">
        <w:rPr>
          <w:b/>
          <w:szCs w:val="18"/>
          <w:lang w:val="es-MX"/>
        </w:rPr>
        <w:t>Reporte de la Recaudación</w:t>
      </w:r>
    </w:p>
    <w:p w14:paraId="620EFA63" w14:textId="54904152" w:rsidR="00AC7F8A" w:rsidRPr="00630DB0" w:rsidRDefault="00AC7F8A" w:rsidP="00AC7F8A">
      <w:pPr>
        <w:pStyle w:val="INCISO"/>
        <w:spacing w:after="0" w:line="240" w:lineRule="exact"/>
      </w:pPr>
      <w:r w:rsidRPr="00630DB0">
        <w:t>a)</w:t>
      </w:r>
      <w:r w:rsidRPr="00630DB0">
        <w:tab/>
      </w:r>
      <w:r w:rsidRPr="00994CB8">
        <w:t xml:space="preserve">Durante el presente </w:t>
      </w:r>
      <w:r w:rsidR="0089374A">
        <w:t>periodo</w:t>
      </w:r>
      <w:r w:rsidRPr="00994CB8">
        <w:t xml:space="preserve"> la recaudación de los ingresos se realiz</w:t>
      </w:r>
      <w:r w:rsidR="0089374A">
        <w:t>ó</w:t>
      </w:r>
      <w:r w:rsidRPr="00994CB8">
        <w:t xml:space="preserve"> a través de la Secretaría de Planeación y Finanzas.</w:t>
      </w:r>
    </w:p>
    <w:p w14:paraId="620EFA64" w14:textId="77777777" w:rsidR="00AC7F8A" w:rsidRDefault="00AC7F8A" w:rsidP="00AC7F8A">
      <w:pPr>
        <w:pStyle w:val="INCISO"/>
        <w:spacing w:after="0" w:line="240" w:lineRule="exact"/>
      </w:pPr>
    </w:p>
    <w:p w14:paraId="620EFA65" w14:textId="77777777" w:rsidR="00AC7F8A" w:rsidRPr="00630DB0" w:rsidRDefault="00AC7F8A" w:rsidP="00AC7F8A">
      <w:pPr>
        <w:pStyle w:val="Texto"/>
        <w:spacing w:after="0" w:line="240" w:lineRule="exact"/>
        <w:rPr>
          <w:b/>
          <w:szCs w:val="18"/>
          <w:lang w:val="es-MX"/>
        </w:rPr>
      </w:pPr>
      <w:r w:rsidRPr="00630DB0">
        <w:rPr>
          <w:b/>
          <w:szCs w:val="18"/>
          <w:lang w:val="es-MX"/>
        </w:rPr>
        <w:t>Información sobre la Deuda y el Reporte Analítico de la Deuda</w:t>
      </w:r>
    </w:p>
    <w:p w14:paraId="620EFA66" w14:textId="40EE1FD2" w:rsidR="00AC7F8A" w:rsidRPr="00630DB0" w:rsidRDefault="00AC7F8A" w:rsidP="00AC7F8A">
      <w:pPr>
        <w:pStyle w:val="Texto"/>
        <w:spacing w:after="0" w:line="240" w:lineRule="exact"/>
        <w:rPr>
          <w:szCs w:val="18"/>
          <w:lang w:val="es-MX"/>
        </w:rPr>
      </w:pPr>
      <w:r>
        <w:rPr>
          <w:lang w:val="es-MX"/>
        </w:rPr>
        <w:t xml:space="preserve">La </w:t>
      </w:r>
      <w:r w:rsidRPr="002B3AF4">
        <w:t>Secretar</w:t>
      </w:r>
      <w:r>
        <w:t>ía</w:t>
      </w:r>
      <w:r w:rsidRPr="002B3AF4">
        <w:t xml:space="preserve"> de Salud y O.P.D. Salud de Tlaxcala</w:t>
      </w:r>
      <w:r w:rsidRPr="002B3AF4">
        <w:rPr>
          <w:lang w:val="es-MX"/>
        </w:rPr>
        <w:t xml:space="preserve"> </w:t>
      </w:r>
      <w:r w:rsidRPr="00630DB0">
        <w:rPr>
          <w:szCs w:val="18"/>
          <w:lang w:val="es-MX"/>
        </w:rPr>
        <w:t>no tiene Deuda P</w:t>
      </w:r>
      <w:r w:rsidR="00B86E68">
        <w:rPr>
          <w:szCs w:val="18"/>
          <w:lang w:val="es-MX"/>
        </w:rPr>
        <w:t>ú</w:t>
      </w:r>
      <w:r w:rsidRPr="00630DB0">
        <w:rPr>
          <w:szCs w:val="18"/>
          <w:lang w:val="es-MX"/>
        </w:rPr>
        <w:t>blica Contratada.</w:t>
      </w:r>
    </w:p>
    <w:p w14:paraId="620EFA67" w14:textId="77777777" w:rsidR="00AC7F8A" w:rsidRPr="00630DB0" w:rsidRDefault="00AC7F8A" w:rsidP="00AC7F8A">
      <w:pPr>
        <w:pStyle w:val="INCISO"/>
        <w:spacing w:after="0" w:line="240" w:lineRule="exact"/>
        <w:rPr>
          <w:lang w:val="es-MX"/>
        </w:rPr>
      </w:pPr>
    </w:p>
    <w:p w14:paraId="620EFA68" w14:textId="77777777" w:rsidR="00AC7F8A" w:rsidRPr="00630DB0" w:rsidRDefault="00AC7F8A" w:rsidP="00AC7F8A">
      <w:pPr>
        <w:pStyle w:val="Texto"/>
        <w:spacing w:after="0" w:line="240" w:lineRule="exact"/>
        <w:rPr>
          <w:b/>
          <w:szCs w:val="18"/>
          <w:lang w:val="es-MX"/>
        </w:rPr>
      </w:pPr>
      <w:r w:rsidRPr="00630DB0">
        <w:rPr>
          <w:b/>
          <w:szCs w:val="18"/>
          <w:lang w:val="es-MX"/>
        </w:rPr>
        <w:t>Calificaciones otorgadas</w:t>
      </w:r>
    </w:p>
    <w:p w14:paraId="620EFA69" w14:textId="77777777" w:rsidR="00AC7F8A" w:rsidRPr="00630DB0" w:rsidRDefault="00AC7F8A" w:rsidP="00AC7F8A">
      <w:pPr>
        <w:pStyle w:val="Texto"/>
        <w:spacing w:after="0" w:line="240" w:lineRule="exact"/>
        <w:rPr>
          <w:szCs w:val="18"/>
        </w:rPr>
      </w:pPr>
      <w:r>
        <w:rPr>
          <w:lang w:val="es-MX"/>
        </w:rPr>
        <w:t xml:space="preserve">La </w:t>
      </w:r>
      <w:r w:rsidRPr="002B3AF4">
        <w:t>Secretar</w:t>
      </w:r>
      <w:r>
        <w:t>ía</w:t>
      </w:r>
      <w:r w:rsidRPr="002B3AF4">
        <w:t xml:space="preserve"> de Salud y O.P.D. Salud de Tlaxcala</w:t>
      </w:r>
      <w:r w:rsidRPr="002B3AF4">
        <w:rPr>
          <w:lang w:val="es-MX"/>
        </w:rPr>
        <w:t xml:space="preserve"> </w:t>
      </w:r>
      <w:r>
        <w:rPr>
          <w:lang w:val="es-MX"/>
        </w:rPr>
        <w:t>n</w:t>
      </w:r>
      <w:r w:rsidRPr="00630DB0">
        <w:rPr>
          <w:szCs w:val="18"/>
          <w:lang w:val="es-MX"/>
        </w:rPr>
        <w:t xml:space="preserve">o tiene ninguna </w:t>
      </w:r>
      <w:r w:rsidRPr="00630DB0">
        <w:rPr>
          <w:szCs w:val="18"/>
        </w:rPr>
        <w:t>calificación crediticia.</w:t>
      </w:r>
    </w:p>
    <w:p w14:paraId="620EFA6A" w14:textId="77777777" w:rsidR="00AC7F8A" w:rsidRPr="00630DB0" w:rsidRDefault="00AC7F8A" w:rsidP="00AC7F8A">
      <w:pPr>
        <w:pStyle w:val="Texto"/>
        <w:spacing w:after="0" w:line="240" w:lineRule="exact"/>
        <w:rPr>
          <w:szCs w:val="18"/>
        </w:rPr>
      </w:pPr>
    </w:p>
    <w:p w14:paraId="620EFA6B" w14:textId="77777777" w:rsidR="00AC7F8A" w:rsidRPr="00630DB0" w:rsidRDefault="00AC7F8A" w:rsidP="00AC7F8A">
      <w:pPr>
        <w:pStyle w:val="Texto"/>
        <w:spacing w:after="0" w:line="240" w:lineRule="exact"/>
        <w:rPr>
          <w:b/>
          <w:szCs w:val="18"/>
          <w:lang w:val="es-MX"/>
        </w:rPr>
      </w:pPr>
      <w:r w:rsidRPr="00630DB0">
        <w:rPr>
          <w:b/>
          <w:szCs w:val="18"/>
          <w:lang w:val="es-MX"/>
        </w:rPr>
        <w:t>Proceso de Mejora</w:t>
      </w:r>
    </w:p>
    <w:p w14:paraId="620EFA6C" w14:textId="77777777" w:rsidR="00AC7F8A" w:rsidRPr="00994CB8" w:rsidRDefault="00AC7F8A" w:rsidP="00AC7F8A">
      <w:pPr>
        <w:pStyle w:val="Texto"/>
        <w:spacing w:after="0" w:line="240" w:lineRule="exact"/>
        <w:rPr>
          <w:szCs w:val="18"/>
        </w:rPr>
      </w:pPr>
      <w:r w:rsidRPr="00994CB8">
        <w:rPr>
          <w:szCs w:val="18"/>
        </w:rPr>
        <w:t>Se informará de:</w:t>
      </w:r>
    </w:p>
    <w:p w14:paraId="620EFA6D" w14:textId="0A47871F" w:rsidR="00AC7F8A" w:rsidRPr="00994CB8" w:rsidRDefault="00AC7F8A" w:rsidP="00AC7F8A">
      <w:pPr>
        <w:pStyle w:val="INCISO"/>
        <w:spacing w:after="0" w:line="240" w:lineRule="exact"/>
      </w:pPr>
      <w:r w:rsidRPr="00994CB8">
        <w:t>a)</w:t>
      </w:r>
      <w:r w:rsidRPr="00994CB8">
        <w:tab/>
        <w:t>Principales Políticas de control interno</w:t>
      </w:r>
      <w:r w:rsidR="00B86E68">
        <w:t>.</w:t>
      </w:r>
    </w:p>
    <w:p w14:paraId="620EFA6E" w14:textId="77777777" w:rsidR="00AC7F8A" w:rsidRPr="00630DB0" w:rsidRDefault="00AC7F8A" w:rsidP="00AC7F8A">
      <w:pPr>
        <w:pStyle w:val="INCISO"/>
        <w:spacing w:after="0" w:line="240" w:lineRule="exact"/>
      </w:pPr>
      <w:r w:rsidRPr="00994CB8">
        <w:t>b)</w:t>
      </w:r>
      <w:r w:rsidRPr="00994CB8">
        <w:tab/>
        <w:t>Medidas de desempeño financiero, metas y alcance.</w:t>
      </w:r>
    </w:p>
    <w:p w14:paraId="620EFA6F" w14:textId="77777777" w:rsidR="00AC7F8A" w:rsidRPr="00630DB0" w:rsidRDefault="00AC7F8A" w:rsidP="00AC7F8A">
      <w:pPr>
        <w:pStyle w:val="INCISO"/>
        <w:spacing w:after="0" w:line="240" w:lineRule="exact"/>
      </w:pPr>
    </w:p>
    <w:p w14:paraId="620EFA70" w14:textId="77777777" w:rsidR="00AC7F8A" w:rsidRPr="00630DB0" w:rsidRDefault="00AC7F8A" w:rsidP="00AC7F8A">
      <w:pPr>
        <w:pStyle w:val="Texto"/>
        <w:spacing w:after="0" w:line="240" w:lineRule="exact"/>
        <w:rPr>
          <w:b/>
          <w:szCs w:val="18"/>
          <w:lang w:val="es-MX"/>
        </w:rPr>
      </w:pPr>
      <w:r w:rsidRPr="00630DB0">
        <w:rPr>
          <w:b/>
          <w:szCs w:val="18"/>
          <w:lang w:val="es-MX"/>
        </w:rPr>
        <w:t>Información por Segmentos</w:t>
      </w:r>
    </w:p>
    <w:p w14:paraId="620EFA71" w14:textId="77777777" w:rsidR="00AC7F8A" w:rsidRDefault="00AC7F8A" w:rsidP="00AC7F8A">
      <w:pPr>
        <w:pStyle w:val="Texto"/>
        <w:spacing w:after="0" w:line="240" w:lineRule="exact"/>
        <w:rPr>
          <w:szCs w:val="18"/>
          <w:lang w:val="es-MX"/>
        </w:rPr>
      </w:pPr>
      <w:r>
        <w:rPr>
          <w:szCs w:val="18"/>
          <w:lang w:val="es-MX"/>
        </w:rPr>
        <w:t>La información que se presenta concentra las actividades y operaciones que realiza OPD Salud de Tlaxcala.</w:t>
      </w:r>
    </w:p>
    <w:p w14:paraId="620EFA72" w14:textId="77777777" w:rsidR="00AC7F8A" w:rsidRPr="00630DB0" w:rsidRDefault="00AC7F8A" w:rsidP="00AC7F8A">
      <w:pPr>
        <w:pStyle w:val="Texto"/>
        <w:spacing w:after="0" w:line="240" w:lineRule="exact"/>
        <w:rPr>
          <w:szCs w:val="18"/>
          <w:lang w:val="es-MX"/>
        </w:rPr>
      </w:pPr>
    </w:p>
    <w:p w14:paraId="620EFA73" w14:textId="77777777" w:rsidR="00AC7F8A" w:rsidRPr="00630DB0" w:rsidRDefault="00AC7F8A" w:rsidP="00AC7F8A">
      <w:pPr>
        <w:pStyle w:val="Texto"/>
        <w:spacing w:after="0" w:line="240" w:lineRule="exact"/>
        <w:rPr>
          <w:b/>
          <w:szCs w:val="18"/>
          <w:lang w:val="es-MX"/>
        </w:rPr>
      </w:pPr>
      <w:r w:rsidRPr="00630DB0">
        <w:rPr>
          <w:b/>
          <w:szCs w:val="18"/>
          <w:lang w:val="es-MX"/>
        </w:rPr>
        <w:t>Eventos Posteriores al Cierre</w:t>
      </w:r>
    </w:p>
    <w:p w14:paraId="620EFA74" w14:textId="77777777" w:rsidR="00AC7F8A" w:rsidRDefault="00AC7F8A" w:rsidP="00AC7F8A">
      <w:pPr>
        <w:pStyle w:val="Texto"/>
        <w:spacing w:after="0" w:line="240" w:lineRule="exact"/>
        <w:ind w:left="284" w:firstLine="4"/>
        <w:rPr>
          <w:szCs w:val="18"/>
        </w:rPr>
      </w:pPr>
      <w:r w:rsidRPr="00994CB8">
        <w:rPr>
          <w:szCs w:val="18"/>
        </w:rPr>
        <w:t>El ente público en su momento informará el efecto en sus Estados Financieros de aquellos hechos ocurridos en el período posterior al que informa, que proporcionan mayor evidencia sobre eventos que le afectan económicamente y que no se conocían a la fecha de cierre.</w:t>
      </w:r>
    </w:p>
    <w:p w14:paraId="620EFA75" w14:textId="77777777" w:rsidR="00AC7F8A" w:rsidRPr="00630DB0" w:rsidRDefault="00AC7F8A" w:rsidP="00AC7F8A">
      <w:pPr>
        <w:pStyle w:val="Texto"/>
        <w:spacing w:after="0" w:line="240" w:lineRule="exact"/>
        <w:ind w:left="708" w:firstLine="0"/>
        <w:rPr>
          <w:szCs w:val="18"/>
        </w:rPr>
      </w:pPr>
    </w:p>
    <w:p w14:paraId="620EFA76" w14:textId="77777777" w:rsidR="00AC7F8A" w:rsidRPr="00630DB0" w:rsidRDefault="00AC7F8A" w:rsidP="00AC7F8A">
      <w:pPr>
        <w:pStyle w:val="Texto"/>
        <w:spacing w:after="0" w:line="240" w:lineRule="exact"/>
        <w:ind w:firstLine="0"/>
        <w:rPr>
          <w:szCs w:val="18"/>
        </w:rPr>
      </w:pPr>
    </w:p>
    <w:p w14:paraId="620EFA77" w14:textId="77777777" w:rsidR="00AC7F8A" w:rsidRDefault="00AC7F8A" w:rsidP="00AC7F8A">
      <w:pPr>
        <w:pStyle w:val="Texto"/>
        <w:spacing w:after="0" w:line="240" w:lineRule="exact"/>
        <w:rPr>
          <w:b/>
          <w:szCs w:val="18"/>
          <w:lang w:val="es-MX"/>
        </w:rPr>
      </w:pPr>
    </w:p>
    <w:p w14:paraId="620EFA78" w14:textId="6500970B" w:rsidR="00AC7F8A" w:rsidRDefault="00AC7F8A" w:rsidP="00AC7F8A">
      <w:pPr>
        <w:pStyle w:val="Texto"/>
        <w:spacing w:after="0" w:line="240" w:lineRule="exact"/>
        <w:rPr>
          <w:b/>
          <w:szCs w:val="18"/>
          <w:lang w:val="es-MX"/>
        </w:rPr>
      </w:pPr>
    </w:p>
    <w:p w14:paraId="62AF6EFD" w14:textId="77777777" w:rsidR="001A7F34" w:rsidRDefault="001A7F34" w:rsidP="00AC7F8A">
      <w:pPr>
        <w:pStyle w:val="Texto"/>
        <w:spacing w:after="0" w:line="240" w:lineRule="exact"/>
        <w:rPr>
          <w:b/>
          <w:szCs w:val="18"/>
          <w:lang w:val="es-MX"/>
        </w:rPr>
      </w:pPr>
    </w:p>
    <w:p w14:paraId="620EFA79" w14:textId="77777777" w:rsidR="00AC7F8A" w:rsidRPr="00630DB0" w:rsidRDefault="00AC7F8A" w:rsidP="00AC7F8A">
      <w:pPr>
        <w:pStyle w:val="Texto"/>
        <w:spacing w:after="0" w:line="240" w:lineRule="exact"/>
        <w:rPr>
          <w:b/>
          <w:szCs w:val="18"/>
          <w:lang w:val="es-MX"/>
        </w:rPr>
      </w:pPr>
      <w:r w:rsidRPr="00630DB0">
        <w:rPr>
          <w:b/>
          <w:szCs w:val="18"/>
          <w:lang w:val="es-MX"/>
        </w:rPr>
        <w:t>Partes Relacionadas</w:t>
      </w:r>
    </w:p>
    <w:p w14:paraId="620EFA7A" w14:textId="4BC12E8A" w:rsidR="00AC7F8A" w:rsidRPr="00630DB0" w:rsidRDefault="00AC7F8A" w:rsidP="00AC7F8A">
      <w:pPr>
        <w:pStyle w:val="Texto"/>
        <w:spacing w:after="0" w:line="240" w:lineRule="exact"/>
        <w:ind w:left="284" w:firstLine="4"/>
        <w:rPr>
          <w:szCs w:val="18"/>
        </w:rPr>
      </w:pPr>
      <w:r>
        <w:rPr>
          <w:lang w:val="es-MX"/>
        </w:rPr>
        <w:t xml:space="preserve">La </w:t>
      </w:r>
      <w:r w:rsidRPr="002B3AF4">
        <w:t>Secretar</w:t>
      </w:r>
      <w:r>
        <w:t>ía</w:t>
      </w:r>
      <w:r w:rsidRPr="002B3AF4">
        <w:t xml:space="preserve"> de Salud y O.P.D. Salud de Tlaxcala</w:t>
      </w:r>
      <w:r w:rsidR="005508C1">
        <w:t>,</w:t>
      </w:r>
      <w:r w:rsidRPr="002B3AF4">
        <w:rPr>
          <w:lang w:val="es-MX"/>
        </w:rPr>
        <w:t xml:space="preserve"> </w:t>
      </w:r>
      <w:r>
        <w:rPr>
          <w:lang w:val="es-MX"/>
        </w:rPr>
        <w:t>n</w:t>
      </w:r>
      <w:r w:rsidRPr="00630DB0">
        <w:rPr>
          <w:szCs w:val="18"/>
        </w:rPr>
        <w:t>o tienen partes relacionadas que pudieran ejercer influencia significativa sobre la toma de decisiones financieras y operativas.</w:t>
      </w:r>
    </w:p>
    <w:p w14:paraId="620EFA7B" w14:textId="77777777" w:rsidR="00AC7F8A" w:rsidRPr="00630DB0" w:rsidRDefault="00AC7F8A" w:rsidP="00AC7F8A">
      <w:pPr>
        <w:pStyle w:val="Texto"/>
        <w:spacing w:after="0" w:line="240" w:lineRule="exact"/>
        <w:rPr>
          <w:szCs w:val="18"/>
        </w:rPr>
      </w:pPr>
    </w:p>
    <w:p w14:paraId="055551BF" w14:textId="551486FD" w:rsidR="00A30021" w:rsidRPr="001A7F34" w:rsidRDefault="00A30021" w:rsidP="00A30021">
      <w:pPr>
        <w:pStyle w:val="Texto"/>
        <w:spacing w:after="0" w:line="240" w:lineRule="auto"/>
        <w:ind w:left="284" w:firstLine="5"/>
        <w:rPr>
          <w:szCs w:val="18"/>
        </w:rPr>
      </w:pPr>
      <w:bookmarkStart w:id="0" w:name="_Hlk61290257"/>
      <w:r w:rsidRPr="001A7F34">
        <w:rPr>
          <w:b/>
          <w:bCs/>
          <w:szCs w:val="18"/>
        </w:rPr>
        <w:t xml:space="preserve">Recursos no ejercidos. </w:t>
      </w:r>
      <w:bookmarkEnd w:id="0"/>
      <w:r w:rsidRPr="001A7F34">
        <w:rPr>
          <w:szCs w:val="18"/>
        </w:rPr>
        <w:t>En el ejercicio fiscal 202</w:t>
      </w:r>
      <w:r w:rsidR="001A7F34" w:rsidRPr="001A7F34">
        <w:rPr>
          <w:szCs w:val="18"/>
        </w:rPr>
        <w:t>0</w:t>
      </w:r>
      <w:r w:rsidRPr="001A7F34">
        <w:rPr>
          <w:szCs w:val="18"/>
        </w:rPr>
        <w:t>, las fuentes de financiamiento tuvieron cambios en las reglas de operación de partidas de gasto autorizadas, aunado a la Pandemia SARS-Cov2 – COVID -19 a nivel mundial que imposibilitó al Estado la ejecución total de los recursos ante la limitación tan estricta por parte de la Federación para poder atender las acciones extraordinarias que no se consideraron en el Presupuesto de Egresos de la Federación, y ante la inmunemente atención por la Federación el Estado mismo.</w:t>
      </w:r>
    </w:p>
    <w:p w14:paraId="352DC6AF" w14:textId="77777777" w:rsidR="00A30021" w:rsidRPr="001A7F34" w:rsidRDefault="00A30021" w:rsidP="00A30021">
      <w:pPr>
        <w:pStyle w:val="Texto"/>
        <w:spacing w:after="0" w:line="240" w:lineRule="auto"/>
        <w:ind w:left="284" w:firstLine="5"/>
        <w:rPr>
          <w:szCs w:val="18"/>
        </w:rPr>
      </w:pPr>
      <w:r w:rsidRPr="001A7F34">
        <w:rPr>
          <w:szCs w:val="18"/>
        </w:rPr>
        <w:t>Por lo que se</w:t>
      </w:r>
      <w:r w:rsidRPr="001A7F34">
        <w:rPr>
          <w:b/>
          <w:bCs/>
          <w:szCs w:val="18"/>
        </w:rPr>
        <w:t xml:space="preserve"> </w:t>
      </w:r>
      <w:r w:rsidRPr="001A7F34">
        <w:rPr>
          <w:szCs w:val="18"/>
        </w:rPr>
        <w:t xml:space="preserve"> tuvo que hacer frente a la contingencia de salud  que es del  “Dominio y conocimiento público” de atender la emergencia sanitaria generada por el virus ya mencionado, de conformidad al ACUERDO de fecha treinta y uno de marzo de dos mil veinte, la cual generó cambios a la programación del Presupuesto de egresos a recibir en la Secretaría de Salud y de las actividades del Programa Anual de Trabajo para el ejercicio fiscal 2020; y como consecuencia la no aplicación del total de los recursos programados en el Presupuesto Federal, derivado de diversos factores, por citar algunos, los precios de referencia establecidos por la Secretaría de Hacienda y Crédito Público, como parte del compendio nacional de medicamentos y material de curación,</w:t>
      </w:r>
      <w:r w:rsidRPr="001A7F34">
        <w:t xml:space="preserve"> </w:t>
      </w:r>
      <w:hyperlink r:id="rId13" w:history="1">
        <w:r w:rsidRPr="001A7F34">
          <w:rPr>
            <w:rStyle w:val="Hipervnculo"/>
            <w:szCs w:val="18"/>
          </w:rPr>
          <w:t>https://www.gob.mx/salud/prensa/317-nuevo-compendio-nacional-de-insumos-para-la-salud</w:t>
        </w:r>
      </w:hyperlink>
      <w:r w:rsidRPr="001A7F34">
        <w:rPr>
          <w:szCs w:val="18"/>
        </w:rPr>
        <w:t xml:space="preserve"> los que al no contar con recursos oportunos (calendarizados) que no se continuara con las estrategias ya programadas para la erogación de recursos con procedimientos de adjudicación y/o que en su caso debían ser forzosamente por Licitación Pública Nacional, y a fin de no incurrir en faltas administrativas o daño patrimonial para el Estado y estar en condiciones de ejercer dicho recurso conforme a la normatividad aplicable, aunado a la ausencia de personal en las dependencias por el resguardo domiciliario que afectó notablemente los procedimientos administrativos.</w:t>
      </w:r>
    </w:p>
    <w:p w14:paraId="382BE730" w14:textId="77777777" w:rsidR="00A30021" w:rsidRPr="001A7F34" w:rsidRDefault="00A30021" w:rsidP="00A30021">
      <w:pPr>
        <w:pStyle w:val="Texto"/>
        <w:ind w:left="284" w:firstLine="0"/>
      </w:pPr>
    </w:p>
    <w:p w14:paraId="0750FE73" w14:textId="38411F01" w:rsidR="00A30021" w:rsidRPr="001A7F34" w:rsidRDefault="00A30021" w:rsidP="00A30021">
      <w:pPr>
        <w:pStyle w:val="Texto"/>
        <w:ind w:left="284" w:firstLine="0"/>
      </w:pPr>
      <w:r w:rsidRPr="001A7F34">
        <w:t xml:space="preserve">Así mismo del total ministrado de un importe de $ 620,822,718.58, fueron asignados presupuestalmente al capítulo 1000 de “Servicios Personales” un importe de 350,494,256.32, de los cuales se ejercieron al 31 de diciembre del 2020, un importe de $ 340,136,136.39, por lo que la diferencia entre lo presupuestado vs ejercido es de $ 10,358,119.93, lo anterior debido a que no se contaba con las reglas de operación para el 2020, motivo por el cual las dos primeras quincenas se aplicaron con distinta fuente de recursos. </w:t>
      </w:r>
    </w:p>
    <w:p w14:paraId="493E255E" w14:textId="77777777" w:rsidR="00A30021" w:rsidRDefault="00A30021" w:rsidP="00A30021">
      <w:pPr>
        <w:pStyle w:val="Texto"/>
        <w:ind w:left="284" w:firstLine="0"/>
      </w:pPr>
      <w:r w:rsidRPr="001A7F34">
        <w:t xml:space="preserve">De igual forma se informa que la Federación al 31 de diciembre de 2020, no </w:t>
      </w:r>
      <w:proofErr w:type="spellStart"/>
      <w:r w:rsidRPr="001A7F34">
        <w:t>a</w:t>
      </w:r>
      <w:proofErr w:type="spellEnd"/>
      <w:r w:rsidRPr="001A7F34">
        <w:t xml:space="preserve"> notificado la ministración del recurso en especie al estado de conformidad al ACUERDO de Coordinación para garantizar la prestación gratuita de servicios de salud, medicamentos y demás insumos asociados para las personas sin seguridad social en los términos previstos en el Título Tercero Bis de la Ley General de Salud, que celebran la Secretaría de Salud, el Instituto de Salud para el Bienestar y el Estado de Tlaxcala., con la finalidad de dar cumplimiento los porcentajes establecidos en dicho Acuerdo.</w:t>
      </w:r>
    </w:p>
    <w:p w14:paraId="620EFA7C" w14:textId="77777777" w:rsidR="00AC7F8A" w:rsidRPr="00A30021" w:rsidRDefault="00AC7F8A" w:rsidP="00AC7F8A">
      <w:pPr>
        <w:pStyle w:val="Texto"/>
        <w:spacing w:after="0" w:line="240" w:lineRule="auto"/>
        <w:ind w:firstLine="289"/>
        <w:rPr>
          <w:b/>
          <w:szCs w:val="18"/>
        </w:rPr>
      </w:pPr>
    </w:p>
    <w:p w14:paraId="620EFA7D" w14:textId="77777777" w:rsidR="00AC7F8A" w:rsidRDefault="00AC7F8A" w:rsidP="00AC7F8A">
      <w:pPr>
        <w:pStyle w:val="Texto"/>
        <w:spacing w:after="0" w:line="240" w:lineRule="auto"/>
        <w:ind w:firstLine="289"/>
        <w:rPr>
          <w:b/>
          <w:szCs w:val="18"/>
        </w:rPr>
      </w:pPr>
      <w:r w:rsidRPr="00630DB0">
        <w:rPr>
          <w:b/>
          <w:szCs w:val="18"/>
          <w:lang w:val="es-MX"/>
        </w:rPr>
        <w:t>Responsabilidad Sobre la Presentación Razonable de la Información Contable</w:t>
      </w:r>
      <w:r w:rsidRPr="00630DB0">
        <w:rPr>
          <w:b/>
          <w:szCs w:val="18"/>
        </w:rPr>
        <w:t xml:space="preserve"> </w:t>
      </w:r>
    </w:p>
    <w:p w14:paraId="1A2E17B4" w14:textId="70A73D45" w:rsidR="005508C1" w:rsidRPr="00B32D71" w:rsidRDefault="00AC7F8A" w:rsidP="00B32D71">
      <w:pPr>
        <w:pStyle w:val="Texto"/>
        <w:spacing w:after="0" w:line="240" w:lineRule="exact"/>
        <w:ind w:left="284" w:firstLine="4"/>
        <w:rPr>
          <w:lang w:val="es-MX"/>
        </w:rPr>
      </w:pPr>
      <w:r w:rsidRPr="00B32D71">
        <w:rPr>
          <w:lang w:val="es-MX"/>
        </w:rPr>
        <w:t>Bajo protesta de decir verdad declaramos que los Estados Financieros y sus Notas</w:t>
      </w:r>
      <w:r w:rsidR="0089374A">
        <w:rPr>
          <w:lang w:val="es-MX"/>
        </w:rPr>
        <w:t>,</w:t>
      </w:r>
      <w:r w:rsidRPr="00B32D71">
        <w:rPr>
          <w:lang w:val="es-MX"/>
        </w:rPr>
        <w:t xml:space="preserve"> son razonablemente correctos y responsabilidad del emisor</w:t>
      </w:r>
      <w:r w:rsidR="00897E2F">
        <w:rPr>
          <w:lang w:val="es-MX"/>
        </w:rPr>
        <w:t>.</w:t>
      </w:r>
    </w:p>
    <w:p w14:paraId="620EFA7E" w14:textId="75501427" w:rsidR="00AC7F8A" w:rsidRDefault="00AC7F8A" w:rsidP="00AC7F8A">
      <w:pPr>
        <w:pStyle w:val="Texto"/>
        <w:spacing w:after="0" w:line="240" w:lineRule="auto"/>
        <w:ind w:firstLine="289"/>
        <w:rPr>
          <w:szCs w:val="18"/>
        </w:rPr>
      </w:pPr>
    </w:p>
    <w:p w14:paraId="620EFA85" w14:textId="77777777" w:rsidR="00A16749" w:rsidRDefault="00A16749" w:rsidP="00AC7F8A">
      <w:pPr>
        <w:pStyle w:val="Texto"/>
        <w:spacing w:after="0" w:line="240" w:lineRule="auto"/>
        <w:ind w:firstLine="289"/>
        <w:rPr>
          <w:szCs w:val="18"/>
          <w:lang w:val="es-MX"/>
        </w:rPr>
      </w:pPr>
    </w:p>
    <w:p w14:paraId="620EFA86" w14:textId="77777777" w:rsidR="00A16749" w:rsidRDefault="00A16749" w:rsidP="00AC7F8A">
      <w:pPr>
        <w:pStyle w:val="Texto"/>
        <w:spacing w:after="0" w:line="240" w:lineRule="auto"/>
        <w:ind w:firstLine="289"/>
        <w:rPr>
          <w:szCs w:val="18"/>
          <w:lang w:val="es-MX"/>
        </w:rPr>
      </w:pPr>
    </w:p>
    <w:p w14:paraId="620EFA87" w14:textId="77777777" w:rsidR="00AC7F8A" w:rsidRDefault="00AC7F8A" w:rsidP="00AC7F8A">
      <w:pPr>
        <w:pStyle w:val="Texto"/>
        <w:spacing w:after="0" w:line="240" w:lineRule="auto"/>
        <w:ind w:firstLine="289"/>
        <w:rPr>
          <w:szCs w:val="18"/>
          <w:lang w:val="es-MX"/>
        </w:rPr>
      </w:pPr>
    </w:p>
    <w:p w14:paraId="620EFA88" w14:textId="77777777" w:rsidR="00AC7F8A" w:rsidRDefault="00AC7F8A" w:rsidP="00AC7F8A">
      <w:pPr>
        <w:pStyle w:val="Texto"/>
        <w:spacing w:after="0" w:line="240" w:lineRule="auto"/>
        <w:ind w:firstLine="289"/>
        <w:rPr>
          <w:szCs w:val="18"/>
          <w:lang w:val="es-MX"/>
        </w:rPr>
      </w:pPr>
    </w:p>
    <w:p w14:paraId="620EFA89" w14:textId="77777777" w:rsidR="00AC7F8A" w:rsidRPr="00630DB0" w:rsidRDefault="00AC7F8A" w:rsidP="00AC7F8A">
      <w:pPr>
        <w:pStyle w:val="Texto"/>
        <w:spacing w:after="0" w:line="240" w:lineRule="auto"/>
        <w:ind w:firstLine="289"/>
        <w:rPr>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8"/>
        <w:gridCol w:w="5033"/>
        <w:gridCol w:w="2379"/>
        <w:gridCol w:w="4893"/>
        <w:gridCol w:w="551"/>
      </w:tblGrid>
      <w:tr w:rsidR="00AC7F8A" w:rsidRPr="00630DB0" w14:paraId="620EFA8F" w14:textId="77777777" w:rsidTr="00AD6257">
        <w:trPr>
          <w:trHeight w:val="300"/>
        </w:trPr>
        <w:tc>
          <w:tcPr>
            <w:tcW w:w="959" w:type="dxa"/>
            <w:noWrap/>
            <w:hideMark/>
          </w:tcPr>
          <w:p w14:paraId="620EFA8A" w14:textId="77777777" w:rsidR="00AC7F8A" w:rsidRPr="00630DB0" w:rsidRDefault="00AC7F8A" w:rsidP="00AD6257">
            <w:pPr>
              <w:pStyle w:val="Texto"/>
              <w:spacing w:after="0" w:line="240" w:lineRule="auto"/>
              <w:ind w:firstLine="289"/>
              <w:rPr>
                <w:szCs w:val="18"/>
              </w:rPr>
            </w:pPr>
            <w:r w:rsidRPr="00630DB0">
              <w:rPr>
                <w:szCs w:val="18"/>
              </w:rPr>
              <w:t> </w:t>
            </w:r>
          </w:p>
        </w:tc>
        <w:tc>
          <w:tcPr>
            <w:tcW w:w="5103" w:type="dxa"/>
            <w:tcBorders>
              <w:top w:val="single" w:sz="4" w:space="0" w:color="auto"/>
            </w:tcBorders>
            <w:noWrap/>
            <w:hideMark/>
          </w:tcPr>
          <w:p w14:paraId="620EFA8B" w14:textId="76A03C44" w:rsidR="00AC7F8A" w:rsidRPr="00630DB0" w:rsidRDefault="00AC7F8A" w:rsidP="00AD6257">
            <w:pPr>
              <w:pStyle w:val="Texto"/>
              <w:spacing w:after="0" w:line="240" w:lineRule="auto"/>
              <w:ind w:firstLine="0"/>
              <w:jc w:val="center"/>
              <w:rPr>
                <w:szCs w:val="18"/>
              </w:rPr>
            </w:pPr>
            <w:r w:rsidRPr="00630DB0">
              <w:rPr>
                <w:szCs w:val="18"/>
              </w:rPr>
              <w:t xml:space="preserve">Dr. </w:t>
            </w:r>
            <w:r w:rsidR="00A81B77">
              <w:rPr>
                <w:szCs w:val="18"/>
              </w:rPr>
              <w:t>René Lima Morales</w:t>
            </w:r>
          </w:p>
        </w:tc>
        <w:tc>
          <w:tcPr>
            <w:tcW w:w="2410" w:type="dxa"/>
            <w:noWrap/>
            <w:hideMark/>
          </w:tcPr>
          <w:p w14:paraId="620EFA8C" w14:textId="77777777" w:rsidR="00AC7F8A" w:rsidRPr="00630DB0" w:rsidRDefault="00AC7F8A" w:rsidP="00AD6257">
            <w:pPr>
              <w:pStyle w:val="Texto"/>
              <w:spacing w:after="0" w:line="240" w:lineRule="auto"/>
              <w:ind w:firstLine="289"/>
              <w:jc w:val="center"/>
              <w:rPr>
                <w:szCs w:val="18"/>
              </w:rPr>
            </w:pPr>
          </w:p>
        </w:tc>
        <w:tc>
          <w:tcPr>
            <w:tcW w:w="4961" w:type="dxa"/>
            <w:tcBorders>
              <w:top w:val="single" w:sz="4" w:space="0" w:color="auto"/>
            </w:tcBorders>
            <w:noWrap/>
            <w:hideMark/>
          </w:tcPr>
          <w:p w14:paraId="620EFA8D" w14:textId="23A67B7A" w:rsidR="00AC7F8A" w:rsidRPr="00630DB0" w:rsidRDefault="001212A3" w:rsidP="00AD6257">
            <w:pPr>
              <w:pStyle w:val="Texto"/>
              <w:spacing w:after="0" w:line="240" w:lineRule="auto"/>
              <w:ind w:firstLine="0"/>
              <w:jc w:val="center"/>
              <w:rPr>
                <w:szCs w:val="18"/>
              </w:rPr>
            </w:pPr>
            <w:r w:rsidRPr="001212A3">
              <w:rPr>
                <w:szCs w:val="18"/>
              </w:rPr>
              <w:t>L.C.P. Giovanna Dy Aguilar Meza</w:t>
            </w:r>
          </w:p>
        </w:tc>
        <w:tc>
          <w:tcPr>
            <w:tcW w:w="425" w:type="dxa"/>
            <w:noWrap/>
            <w:hideMark/>
          </w:tcPr>
          <w:p w14:paraId="620EFA8E" w14:textId="77777777" w:rsidR="00AC7F8A" w:rsidRPr="00630DB0" w:rsidRDefault="00AC7F8A" w:rsidP="00AD6257">
            <w:pPr>
              <w:pStyle w:val="Texto"/>
              <w:spacing w:after="0" w:line="240" w:lineRule="auto"/>
              <w:ind w:firstLine="289"/>
              <w:rPr>
                <w:szCs w:val="18"/>
              </w:rPr>
            </w:pPr>
            <w:r w:rsidRPr="00630DB0">
              <w:rPr>
                <w:szCs w:val="18"/>
              </w:rPr>
              <w:t> </w:t>
            </w:r>
          </w:p>
        </w:tc>
      </w:tr>
      <w:tr w:rsidR="00AC7F8A" w:rsidRPr="00630DB0" w14:paraId="620EFA95" w14:textId="77777777" w:rsidTr="00AD6257">
        <w:trPr>
          <w:trHeight w:val="426"/>
        </w:trPr>
        <w:tc>
          <w:tcPr>
            <w:tcW w:w="959" w:type="dxa"/>
            <w:noWrap/>
            <w:hideMark/>
          </w:tcPr>
          <w:p w14:paraId="620EFA90" w14:textId="77777777" w:rsidR="00AC7F8A" w:rsidRPr="00630DB0" w:rsidRDefault="00AC7F8A" w:rsidP="00AD6257">
            <w:pPr>
              <w:pStyle w:val="Texto"/>
              <w:spacing w:after="0" w:line="240" w:lineRule="auto"/>
              <w:ind w:firstLine="289"/>
              <w:rPr>
                <w:szCs w:val="18"/>
              </w:rPr>
            </w:pPr>
            <w:r w:rsidRPr="00630DB0">
              <w:rPr>
                <w:szCs w:val="18"/>
              </w:rPr>
              <w:t> </w:t>
            </w:r>
          </w:p>
        </w:tc>
        <w:tc>
          <w:tcPr>
            <w:tcW w:w="5103" w:type="dxa"/>
            <w:hideMark/>
          </w:tcPr>
          <w:p w14:paraId="620EFA91" w14:textId="77777777" w:rsidR="00AC7F8A" w:rsidRPr="00630DB0" w:rsidRDefault="00AC7F8A" w:rsidP="00AD6257">
            <w:pPr>
              <w:pStyle w:val="Texto"/>
              <w:spacing w:after="0" w:line="240" w:lineRule="auto"/>
              <w:ind w:firstLine="0"/>
              <w:jc w:val="center"/>
              <w:rPr>
                <w:szCs w:val="18"/>
              </w:rPr>
            </w:pPr>
            <w:r w:rsidRPr="00630DB0">
              <w:rPr>
                <w:szCs w:val="18"/>
              </w:rPr>
              <w:t>Secretario de Salud y Director General del</w:t>
            </w:r>
            <w:r>
              <w:rPr>
                <w:szCs w:val="18"/>
              </w:rPr>
              <w:t xml:space="preserve"> </w:t>
            </w:r>
            <w:r w:rsidRPr="00630DB0">
              <w:rPr>
                <w:szCs w:val="18"/>
              </w:rPr>
              <w:t>O.P.D. Salud de Tlaxcala</w:t>
            </w:r>
          </w:p>
        </w:tc>
        <w:tc>
          <w:tcPr>
            <w:tcW w:w="2410" w:type="dxa"/>
            <w:noWrap/>
            <w:hideMark/>
          </w:tcPr>
          <w:p w14:paraId="620EFA92" w14:textId="77777777" w:rsidR="00AC7F8A" w:rsidRPr="00630DB0" w:rsidRDefault="00AC7F8A" w:rsidP="00AD6257">
            <w:pPr>
              <w:pStyle w:val="Texto"/>
              <w:spacing w:after="0" w:line="240" w:lineRule="auto"/>
              <w:ind w:firstLine="289"/>
              <w:jc w:val="center"/>
              <w:rPr>
                <w:szCs w:val="18"/>
              </w:rPr>
            </w:pPr>
          </w:p>
        </w:tc>
        <w:tc>
          <w:tcPr>
            <w:tcW w:w="4961" w:type="dxa"/>
            <w:hideMark/>
          </w:tcPr>
          <w:p w14:paraId="620EFA93" w14:textId="77777777" w:rsidR="00AC7F8A" w:rsidRPr="00630DB0" w:rsidRDefault="00AC7F8A" w:rsidP="00AD6257">
            <w:pPr>
              <w:pStyle w:val="Texto"/>
              <w:spacing w:after="0" w:line="240" w:lineRule="auto"/>
              <w:ind w:firstLine="0"/>
              <w:jc w:val="center"/>
              <w:rPr>
                <w:szCs w:val="18"/>
              </w:rPr>
            </w:pPr>
            <w:r w:rsidRPr="00630DB0">
              <w:rPr>
                <w:szCs w:val="18"/>
              </w:rPr>
              <w:t>Director</w:t>
            </w:r>
            <w:r>
              <w:rPr>
                <w:szCs w:val="18"/>
              </w:rPr>
              <w:t>a</w:t>
            </w:r>
            <w:r w:rsidRPr="00630DB0">
              <w:rPr>
                <w:szCs w:val="18"/>
              </w:rPr>
              <w:t xml:space="preserve"> de Administración de la Secretaría de Salud y O.P.D. Salud de Tlaxcala</w:t>
            </w:r>
          </w:p>
        </w:tc>
        <w:tc>
          <w:tcPr>
            <w:tcW w:w="425" w:type="dxa"/>
            <w:noWrap/>
            <w:hideMark/>
          </w:tcPr>
          <w:p w14:paraId="620EFA94" w14:textId="77777777" w:rsidR="00AC7F8A" w:rsidRPr="00630DB0" w:rsidRDefault="00AC7F8A" w:rsidP="00AD6257">
            <w:pPr>
              <w:pStyle w:val="Texto"/>
              <w:spacing w:after="0" w:line="240" w:lineRule="auto"/>
              <w:ind w:firstLine="289"/>
              <w:rPr>
                <w:szCs w:val="18"/>
              </w:rPr>
            </w:pPr>
            <w:r w:rsidRPr="00630DB0">
              <w:rPr>
                <w:szCs w:val="18"/>
              </w:rPr>
              <w:t> </w:t>
            </w:r>
          </w:p>
        </w:tc>
      </w:tr>
    </w:tbl>
    <w:p w14:paraId="620EFA97" w14:textId="77777777" w:rsidR="00001107" w:rsidRPr="006130D1" w:rsidRDefault="00001107" w:rsidP="00A30021">
      <w:pPr>
        <w:pStyle w:val="Texto"/>
        <w:spacing w:after="0" w:line="240" w:lineRule="exact"/>
        <w:rPr>
          <w:szCs w:val="18"/>
          <w:lang w:val="es-MX"/>
        </w:rPr>
      </w:pPr>
      <w:bookmarkStart w:id="1" w:name="_GoBack"/>
      <w:bookmarkEnd w:id="1"/>
    </w:p>
    <w:sectPr w:rsidR="00001107" w:rsidRPr="006130D1" w:rsidSect="00083F22">
      <w:headerReference w:type="even" r:id="rId14"/>
      <w:headerReference w:type="default" r:id="rId15"/>
      <w:footerReference w:type="even" r:id="rId16"/>
      <w:footerReference w:type="default" r:id="rId17"/>
      <w:pgSz w:w="15840" w:h="12240" w:orient="landscape"/>
      <w:pgMar w:top="1440" w:right="956"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F6CE5" w14:textId="77777777" w:rsidR="008D7E43" w:rsidRDefault="008D7E43" w:rsidP="00EA5418">
      <w:pPr>
        <w:spacing w:after="0" w:line="240" w:lineRule="auto"/>
      </w:pPr>
      <w:r>
        <w:separator/>
      </w:r>
    </w:p>
  </w:endnote>
  <w:endnote w:type="continuationSeparator" w:id="0">
    <w:p w14:paraId="14896645" w14:textId="77777777" w:rsidR="008D7E43" w:rsidRDefault="008D7E43"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A" w14:textId="77777777" w:rsidR="006452F9" w:rsidRPr="0013011C" w:rsidRDefault="006452F9"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620EFAB3" wp14:editId="620EFAB4">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6D87A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" strokecolor="#632523" strokeweight="1.5pt"/>
          </w:pict>
        </mc:Fallback>
      </mc:AlternateContent>
    </w:r>
    <w:r w:rsidRPr="0013011C">
      <w:rPr>
        <w:rFonts w:ascii="Soberana Sans Light" w:hAnsi="Soberana Sans Light"/>
      </w:rPr>
      <w:t xml:space="preserve">Contable / </w:t>
    </w:r>
    <w:sdt>
      <w:sdtPr>
        <w:rPr>
          <w:rFonts w:ascii="Soberana Sans Light" w:hAnsi="Soberana Sans Light"/>
        </w:rPr>
        <w:id w:val="-1806847283"/>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Pr="003C4E6B">
          <w:rPr>
            <w:rFonts w:ascii="Soberana Sans Light" w:hAnsi="Soberana Sans Light"/>
            <w:noProof/>
            <w:lang w:val="es-ES"/>
          </w:rPr>
          <w:t>20</w:t>
        </w:r>
        <w:r w:rsidRPr="0013011C">
          <w:rPr>
            <w:rFonts w:ascii="Soberana Sans Light" w:hAnsi="Soberana Sans Light"/>
          </w:rPr>
          <w:fldChar w:fldCharType="end"/>
        </w:r>
      </w:sdtContent>
    </w:sdt>
  </w:p>
  <w:p w14:paraId="620EFAAB" w14:textId="77777777" w:rsidR="006452F9" w:rsidRDefault="006452F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C" w14:textId="77777777" w:rsidR="006452F9" w:rsidRPr="008E3652" w:rsidRDefault="006452F9"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620EFAB5" wp14:editId="620EFAB6">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121FF8"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" strokecolor="#632523" strokeweight="1.5pt"/>
          </w:pict>
        </mc:Fallback>
      </mc:AlternateContent>
    </w:r>
    <w:sdt>
      <w:sdtPr>
        <w:rPr>
          <w:rFonts w:ascii="Soberana Sans Light" w:hAnsi="Soberana Sans Light"/>
        </w:rPr>
        <w:id w:val="-905222327"/>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Pr="003C4E6B">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C6C3D3" w14:textId="77777777" w:rsidR="008D7E43" w:rsidRDefault="008D7E43" w:rsidP="00EA5418">
      <w:pPr>
        <w:spacing w:after="0" w:line="240" w:lineRule="auto"/>
      </w:pPr>
      <w:r>
        <w:separator/>
      </w:r>
    </w:p>
  </w:footnote>
  <w:footnote w:type="continuationSeparator" w:id="0">
    <w:p w14:paraId="6470EE34" w14:textId="77777777" w:rsidR="008D7E43" w:rsidRDefault="008D7E43"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8" w14:textId="77777777" w:rsidR="006452F9" w:rsidRDefault="006452F9">
    <w:pPr>
      <w:pStyle w:val="Encabezado"/>
    </w:pPr>
    <w:r>
      <w:rPr>
        <w:noProof/>
        <w:lang w:eastAsia="es-MX"/>
      </w:rPr>
      <mc:AlternateContent>
        <mc:Choice Requires="wpg">
          <w:drawing>
            <wp:anchor distT="0" distB="0" distL="114300" distR="114300" simplePos="0" relativeHeight="251665408" behindDoc="0" locked="0" layoutInCell="1" allowOverlap="1" wp14:anchorId="620EFAAD" wp14:editId="620EFAAE">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EFABD" w14:textId="77777777" w:rsidR="006452F9" w:rsidRDefault="006452F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20EFABE" w14:textId="77777777" w:rsidR="006452F9" w:rsidRDefault="006452F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20EFABF" w14:textId="77777777" w:rsidR="006452F9" w:rsidRPr="00275FC6" w:rsidRDefault="006452F9"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0EFAC0" w14:textId="6E4F7150" w:rsidR="006452F9" w:rsidRDefault="006452F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14:paraId="620EFAC1" w14:textId="77777777" w:rsidR="006452F9" w:rsidRDefault="006452F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20EFAC2" w14:textId="77777777" w:rsidR="006452F9" w:rsidRPr="00275FC6" w:rsidRDefault="006452F9"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620EFAAD"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20EFABD" w14:textId="77777777" w:rsidR="006452F9" w:rsidRDefault="006452F9"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20EFABE" w14:textId="77777777" w:rsidR="006452F9" w:rsidRDefault="006452F9"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620EFABF" w14:textId="77777777" w:rsidR="006452F9" w:rsidRPr="00275FC6" w:rsidRDefault="006452F9"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620EFAC0" w14:textId="6E4F7150" w:rsidR="006452F9" w:rsidRDefault="006452F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Pr>
                            <w:rFonts w:ascii="Soberana Titular" w:hAnsi="Soberana Titular" w:cs="Arial"/>
                            <w:color w:val="808080" w:themeColor="background1" w:themeShade="80"/>
                            <w:sz w:val="42"/>
                            <w:szCs w:val="42"/>
                          </w:rPr>
                          <w:t>21</w:t>
                        </w:r>
                      </w:p>
                      <w:p w14:paraId="620EFAC1" w14:textId="77777777" w:rsidR="006452F9" w:rsidRDefault="006452F9"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14:paraId="620EFAC2" w14:textId="77777777" w:rsidR="006452F9" w:rsidRPr="00275FC6" w:rsidRDefault="006452F9"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20EFAAF" wp14:editId="620EFAB0">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058CF1"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" strokecolor="#632523"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EFAA9" w14:textId="77777777" w:rsidR="006452F9" w:rsidRPr="0013011C" w:rsidRDefault="006452F9"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48000" behindDoc="0" locked="0" layoutInCell="1" allowOverlap="1" wp14:anchorId="620EFAB1" wp14:editId="620EFAB2">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63252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FC58CF" id="1 Conector recto" o:spid="_x0000_s1026" style="position:absolute;flip:y;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" strokecolor="#632523"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04A30E77"/>
    <w:multiLevelType w:val="hybridMultilevel"/>
    <w:tmpl w:val="EED0578C"/>
    <w:lvl w:ilvl="0" w:tplc="53A0B91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0B736F61"/>
    <w:multiLevelType w:val="hybridMultilevel"/>
    <w:tmpl w:val="6060DE0C"/>
    <w:lvl w:ilvl="0" w:tplc="080A0001">
      <w:start w:val="1"/>
      <w:numFmt w:val="bullet"/>
      <w:lvlText w:val=""/>
      <w:lvlJc w:val="left"/>
      <w:pPr>
        <w:ind w:left="720" w:hanging="360"/>
      </w:pPr>
      <w:rPr>
        <w:rFonts w:ascii="Symbol" w:hAnsi="Symbol" w:hint="default"/>
      </w:rPr>
    </w:lvl>
    <w:lvl w:ilvl="1" w:tplc="0C0A000D">
      <w:start w:val="1"/>
      <w:numFmt w:val="bullet"/>
      <w:lvlText w:val=""/>
      <w:lvlJc w:val="left"/>
      <w:pPr>
        <w:ind w:left="1440" w:hanging="360"/>
      </w:pPr>
      <w:rPr>
        <w:rFonts w:ascii="Wingdings" w:hAnsi="Wingding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28C42809"/>
    <w:multiLevelType w:val="hybridMultilevel"/>
    <w:tmpl w:val="842ABC0C"/>
    <w:lvl w:ilvl="0" w:tplc="1E2ABA66">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29235515"/>
    <w:multiLevelType w:val="hybridMultilevel"/>
    <w:tmpl w:val="7392245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4BEA15F4"/>
    <w:multiLevelType w:val="hybridMultilevel"/>
    <w:tmpl w:val="20E2E95E"/>
    <w:lvl w:ilvl="0" w:tplc="7D2A3650">
      <w:start w:val="1"/>
      <w:numFmt w:val="decimal"/>
      <w:lvlText w:val="%1."/>
      <w:lvlJc w:val="left"/>
      <w:pPr>
        <w:ind w:left="1083" w:hanging="360"/>
      </w:pPr>
      <w:rPr>
        <w:rFonts w:hint="default"/>
      </w:rPr>
    </w:lvl>
    <w:lvl w:ilvl="1" w:tplc="080A0019" w:tentative="1">
      <w:start w:val="1"/>
      <w:numFmt w:val="lowerLetter"/>
      <w:lvlText w:val="%2."/>
      <w:lvlJc w:val="left"/>
      <w:pPr>
        <w:ind w:left="1803" w:hanging="360"/>
      </w:pPr>
    </w:lvl>
    <w:lvl w:ilvl="2" w:tplc="080A001B" w:tentative="1">
      <w:start w:val="1"/>
      <w:numFmt w:val="lowerRoman"/>
      <w:lvlText w:val="%3."/>
      <w:lvlJc w:val="right"/>
      <w:pPr>
        <w:ind w:left="2523" w:hanging="180"/>
      </w:pPr>
    </w:lvl>
    <w:lvl w:ilvl="3" w:tplc="080A000F" w:tentative="1">
      <w:start w:val="1"/>
      <w:numFmt w:val="decimal"/>
      <w:lvlText w:val="%4."/>
      <w:lvlJc w:val="left"/>
      <w:pPr>
        <w:ind w:left="3243" w:hanging="360"/>
      </w:pPr>
    </w:lvl>
    <w:lvl w:ilvl="4" w:tplc="080A0019" w:tentative="1">
      <w:start w:val="1"/>
      <w:numFmt w:val="lowerLetter"/>
      <w:lvlText w:val="%5."/>
      <w:lvlJc w:val="left"/>
      <w:pPr>
        <w:ind w:left="3963" w:hanging="360"/>
      </w:pPr>
    </w:lvl>
    <w:lvl w:ilvl="5" w:tplc="080A001B" w:tentative="1">
      <w:start w:val="1"/>
      <w:numFmt w:val="lowerRoman"/>
      <w:lvlText w:val="%6."/>
      <w:lvlJc w:val="right"/>
      <w:pPr>
        <w:ind w:left="4683" w:hanging="180"/>
      </w:pPr>
    </w:lvl>
    <w:lvl w:ilvl="6" w:tplc="080A000F" w:tentative="1">
      <w:start w:val="1"/>
      <w:numFmt w:val="decimal"/>
      <w:lvlText w:val="%7."/>
      <w:lvlJc w:val="left"/>
      <w:pPr>
        <w:ind w:left="5403" w:hanging="360"/>
      </w:pPr>
    </w:lvl>
    <w:lvl w:ilvl="7" w:tplc="080A0019" w:tentative="1">
      <w:start w:val="1"/>
      <w:numFmt w:val="lowerLetter"/>
      <w:lvlText w:val="%8."/>
      <w:lvlJc w:val="left"/>
      <w:pPr>
        <w:ind w:left="6123" w:hanging="360"/>
      </w:pPr>
    </w:lvl>
    <w:lvl w:ilvl="8" w:tplc="080A001B" w:tentative="1">
      <w:start w:val="1"/>
      <w:numFmt w:val="lowerRoman"/>
      <w:lvlText w:val="%9."/>
      <w:lvlJc w:val="right"/>
      <w:pPr>
        <w:ind w:left="6843" w:hanging="180"/>
      </w:pPr>
    </w:lvl>
  </w:abstractNum>
  <w:num w:numId="1">
    <w:abstractNumId w:val="0"/>
  </w:num>
  <w:num w:numId="2">
    <w:abstractNumId w:val="3"/>
  </w:num>
  <w:num w:numId="3">
    <w:abstractNumId w:val="6"/>
  </w:num>
  <w:num w:numId="4">
    <w:abstractNumId w:val="5"/>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1107"/>
    <w:rsid w:val="000026DB"/>
    <w:rsid w:val="00003BED"/>
    <w:rsid w:val="000120B5"/>
    <w:rsid w:val="00012D7C"/>
    <w:rsid w:val="00022F30"/>
    <w:rsid w:val="000240AB"/>
    <w:rsid w:val="00026275"/>
    <w:rsid w:val="0002764A"/>
    <w:rsid w:val="00032F70"/>
    <w:rsid w:val="00033B87"/>
    <w:rsid w:val="00033FA2"/>
    <w:rsid w:val="00034DE7"/>
    <w:rsid w:val="000358A7"/>
    <w:rsid w:val="000365F5"/>
    <w:rsid w:val="00040466"/>
    <w:rsid w:val="0004162A"/>
    <w:rsid w:val="00041D47"/>
    <w:rsid w:val="00043178"/>
    <w:rsid w:val="0004354B"/>
    <w:rsid w:val="00045A10"/>
    <w:rsid w:val="0004695A"/>
    <w:rsid w:val="00047568"/>
    <w:rsid w:val="00051D68"/>
    <w:rsid w:val="00054F1E"/>
    <w:rsid w:val="00055830"/>
    <w:rsid w:val="00057368"/>
    <w:rsid w:val="00060117"/>
    <w:rsid w:val="0006056E"/>
    <w:rsid w:val="0006654C"/>
    <w:rsid w:val="00075041"/>
    <w:rsid w:val="00082C0D"/>
    <w:rsid w:val="00083F22"/>
    <w:rsid w:val="000A44DB"/>
    <w:rsid w:val="000A45F6"/>
    <w:rsid w:val="000A5FCF"/>
    <w:rsid w:val="000B1720"/>
    <w:rsid w:val="000B6C7A"/>
    <w:rsid w:val="000C02B3"/>
    <w:rsid w:val="000C2891"/>
    <w:rsid w:val="000C464D"/>
    <w:rsid w:val="000C5DCB"/>
    <w:rsid w:val="000C6DC8"/>
    <w:rsid w:val="000D1497"/>
    <w:rsid w:val="000D5AE3"/>
    <w:rsid w:val="000E0F57"/>
    <w:rsid w:val="000E536D"/>
    <w:rsid w:val="000E6587"/>
    <w:rsid w:val="000F162D"/>
    <w:rsid w:val="000F28C1"/>
    <w:rsid w:val="000F34EC"/>
    <w:rsid w:val="000F4F8C"/>
    <w:rsid w:val="000F59F8"/>
    <w:rsid w:val="000F7C75"/>
    <w:rsid w:val="00100132"/>
    <w:rsid w:val="00102D24"/>
    <w:rsid w:val="0010753A"/>
    <w:rsid w:val="0011163A"/>
    <w:rsid w:val="00112821"/>
    <w:rsid w:val="00112900"/>
    <w:rsid w:val="00114A66"/>
    <w:rsid w:val="001158FB"/>
    <w:rsid w:val="00120DE9"/>
    <w:rsid w:val="001212A3"/>
    <w:rsid w:val="0013011C"/>
    <w:rsid w:val="00133BE7"/>
    <w:rsid w:val="00134A99"/>
    <w:rsid w:val="001366B8"/>
    <w:rsid w:val="0014070C"/>
    <w:rsid w:val="00140D99"/>
    <w:rsid w:val="00144A4C"/>
    <w:rsid w:val="00147005"/>
    <w:rsid w:val="0015416F"/>
    <w:rsid w:val="00155609"/>
    <w:rsid w:val="00155D2E"/>
    <w:rsid w:val="00165BB4"/>
    <w:rsid w:val="00170684"/>
    <w:rsid w:val="00170C1D"/>
    <w:rsid w:val="00171C23"/>
    <w:rsid w:val="001768FA"/>
    <w:rsid w:val="00176993"/>
    <w:rsid w:val="00182889"/>
    <w:rsid w:val="0019169A"/>
    <w:rsid w:val="0019580B"/>
    <w:rsid w:val="001A2994"/>
    <w:rsid w:val="001A3EB2"/>
    <w:rsid w:val="001A3FF6"/>
    <w:rsid w:val="001A4358"/>
    <w:rsid w:val="001A5B66"/>
    <w:rsid w:val="001A7781"/>
    <w:rsid w:val="001A7F34"/>
    <w:rsid w:val="001B03C7"/>
    <w:rsid w:val="001B1B72"/>
    <w:rsid w:val="001B3610"/>
    <w:rsid w:val="001C21BB"/>
    <w:rsid w:val="001C26AA"/>
    <w:rsid w:val="001C2DEA"/>
    <w:rsid w:val="001C45A6"/>
    <w:rsid w:val="001C6FD8"/>
    <w:rsid w:val="001D48F8"/>
    <w:rsid w:val="001D64A5"/>
    <w:rsid w:val="001E4CC8"/>
    <w:rsid w:val="001E5882"/>
    <w:rsid w:val="001E6AFC"/>
    <w:rsid w:val="001E7072"/>
    <w:rsid w:val="001F011A"/>
    <w:rsid w:val="001F2C9A"/>
    <w:rsid w:val="001F366F"/>
    <w:rsid w:val="001F627C"/>
    <w:rsid w:val="00204C86"/>
    <w:rsid w:val="0021009F"/>
    <w:rsid w:val="00211B45"/>
    <w:rsid w:val="00213DCE"/>
    <w:rsid w:val="00214D3F"/>
    <w:rsid w:val="00222D69"/>
    <w:rsid w:val="002248A6"/>
    <w:rsid w:val="00227B7C"/>
    <w:rsid w:val="00227CA0"/>
    <w:rsid w:val="00232EA6"/>
    <w:rsid w:val="00242DC8"/>
    <w:rsid w:val="00247CA8"/>
    <w:rsid w:val="00247E6C"/>
    <w:rsid w:val="002509E8"/>
    <w:rsid w:val="00264426"/>
    <w:rsid w:val="002644BD"/>
    <w:rsid w:val="002715B0"/>
    <w:rsid w:val="002728B8"/>
    <w:rsid w:val="00273C91"/>
    <w:rsid w:val="00274279"/>
    <w:rsid w:val="00274905"/>
    <w:rsid w:val="0027528C"/>
    <w:rsid w:val="00280993"/>
    <w:rsid w:val="002839FB"/>
    <w:rsid w:val="00283B02"/>
    <w:rsid w:val="00285012"/>
    <w:rsid w:val="002872EC"/>
    <w:rsid w:val="00290B13"/>
    <w:rsid w:val="00296E1A"/>
    <w:rsid w:val="002972AA"/>
    <w:rsid w:val="002A179B"/>
    <w:rsid w:val="002A29FA"/>
    <w:rsid w:val="002A5938"/>
    <w:rsid w:val="002A70B3"/>
    <w:rsid w:val="002B14A4"/>
    <w:rsid w:val="002B25BC"/>
    <w:rsid w:val="002B2BD7"/>
    <w:rsid w:val="002B33FC"/>
    <w:rsid w:val="002B3AF4"/>
    <w:rsid w:val="002B46F5"/>
    <w:rsid w:val="002B7D2E"/>
    <w:rsid w:val="002C012E"/>
    <w:rsid w:val="002C2EA9"/>
    <w:rsid w:val="002C34A7"/>
    <w:rsid w:val="002C6BD8"/>
    <w:rsid w:val="002D1811"/>
    <w:rsid w:val="002D1E17"/>
    <w:rsid w:val="002D2D80"/>
    <w:rsid w:val="002D6D41"/>
    <w:rsid w:val="002E2914"/>
    <w:rsid w:val="002E38A5"/>
    <w:rsid w:val="002E5ED2"/>
    <w:rsid w:val="002F2346"/>
    <w:rsid w:val="002F3894"/>
    <w:rsid w:val="002F4067"/>
    <w:rsid w:val="003018C5"/>
    <w:rsid w:val="003044E6"/>
    <w:rsid w:val="003105A5"/>
    <w:rsid w:val="00311750"/>
    <w:rsid w:val="0031232F"/>
    <w:rsid w:val="003150CC"/>
    <w:rsid w:val="00316766"/>
    <w:rsid w:val="00316A81"/>
    <w:rsid w:val="003206ED"/>
    <w:rsid w:val="003211CB"/>
    <w:rsid w:val="00323DA4"/>
    <w:rsid w:val="00327241"/>
    <w:rsid w:val="00336532"/>
    <w:rsid w:val="003428E7"/>
    <w:rsid w:val="00343090"/>
    <w:rsid w:val="003535EC"/>
    <w:rsid w:val="00362148"/>
    <w:rsid w:val="00367C3F"/>
    <w:rsid w:val="00372F40"/>
    <w:rsid w:val="003753AD"/>
    <w:rsid w:val="00383209"/>
    <w:rsid w:val="00387376"/>
    <w:rsid w:val="0038789E"/>
    <w:rsid w:val="00390AEF"/>
    <w:rsid w:val="0039523A"/>
    <w:rsid w:val="003966F6"/>
    <w:rsid w:val="00396C2B"/>
    <w:rsid w:val="003A0303"/>
    <w:rsid w:val="003A1877"/>
    <w:rsid w:val="003A5953"/>
    <w:rsid w:val="003B03F9"/>
    <w:rsid w:val="003B2EB5"/>
    <w:rsid w:val="003C1E83"/>
    <w:rsid w:val="003C398A"/>
    <w:rsid w:val="003C3F18"/>
    <w:rsid w:val="003C4E6B"/>
    <w:rsid w:val="003D08C0"/>
    <w:rsid w:val="003D0B51"/>
    <w:rsid w:val="003D5DBF"/>
    <w:rsid w:val="003D5EC5"/>
    <w:rsid w:val="003E5CD4"/>
    <w:rsid w:val="003E7FD0"/>
    <w:rsid w:val="003F0EA4"/>
    <w:rsid w:val="003F1C15"/>
    <w:rsid w:val="003F3006"/>
    <w:rsid w:val="003F4D7A"/>
    <w:rsid w:val="003F786B"/>
    <w:rsid w:val="0040646F"/>
    <w:rsid w:val="0040666E"/>
    <w:rsid w:val="00417393"/>
    <w:rsid w:val="00420E80"/>
    <w:rsid w:val="00421166"/>
    <w:rsid w:val="0042374F"/>
    <w:rsid w:val="00430D57"/>
    <w:rsid w:val="004311BE"/>
    <w:rsid w:val="00434CDC"/>
    <w:rsid w:val="004354AD"/>
    <w:rsid w:val="0043609B"/>
    <w:rsid w:val="00441D24"/>
    <w:rsid w:val="00441F6E"/>
    <w:rsid w:val="0044253C"/>
    <w:rsid w:val="004431B3"/>
    <w:rsid w:val="00443A32"/>
    <w:rsid w:val="00444E9B"/>
    <w:rsid w:val="00445D13"/>
    <w:rsid w:val="00450142"/>
    <w:rsid w:val="0045167D"/>
    <w:rsid w:val="004572C7"/>
    <w:rsid w:val="0045752B"/>
    <w:rsid w:val="00463C34"/>
    <w:rsid w:val="0046720D"/>
    <w:rsid w:val="0046745F"/>
    <w:rsid w:val="00467D58"/>
    <w:rsid w:val="004714CF"/>
    <w:rsid w:val="004768A2"/>
    <w:rsid w:val="00481922"/>
    <w:rsid w:val="00483407"/>
    <w:rsid w:val="00483D82"/>
    <w:rsid w:val="00484C0D"/>
    <w:rsid w:val="0048534C"/>
    <w:rsid w:val="00486959"/>
    <w:rsid w:val="00491B3D"/>
    <w:rsid w:val="00493D6A"/>
    <w:rsid w:val="004967EE"/>
    <w:rsid w:val="00497D8B"/>
    <w:rsid w:val="004A4D4D"/>
    <w:rsid w:val="004A51C2"/>
    <w:rsid w:val="004A7C02"/>
    <w:rsid w:val="004B1F59"/>
    <w:rsid w:val="004B785F"/>
    <w:rsid w:val="004B7C96"/>
    <w:rsid w:val="004C322C"/>
    <w:rsid w:val="004D2257"/>
    <w:rsid w:val="004D41B8"/>
    <w:rsid w:val="004D4B95"/>
    <w:rsid w:val="004E0C52"/>
    <w:rsid w:val="004E271E"/>
    <w:rsid w:val="004E68A3"/>
    <w:rsid w:val="004F10D5"/>
    <w:rsid w:val="004F182E"/>
    <w:rsid w:val="004F5641"/>
    <w:rsid w:val="0050065A"/>
    <w:rsid w:val="00503FF5"/>
    <w:rsid w:val="005044CA"/>
    <w:rsid w:val="00507531"/>
    <w:rsid w:val="00511376"/>
    <w:rsid w:val="00514D0A"/>
    <w:rsid w:val="00516DD0"/>
    <w:rsid w:val="0051734E"/>
    <w:rsid w:val="00522632"/>
    <w:rsid w:val="00522EF3"/>
    <w:rsid w:val="00523296"/>
    <w:rsid w:val="0053393A"/>
    <w:rsid w:val="00536C46"/>
    <w:rsid w:val="00540418"/>
    <w:rsid w:val="00542E8C"/>
    <w:rsid w:val="005430E9"/>
    <w:rsid w:val="00543729"/>
    <w:rsid w:val="005460C7"/>
    <w:rsid w:val="00546D3F"/>
    <w:rsid w:val="005508C1"/>
    <w:rsid w:val="00551C31"/>
    <w:rsid w:val="005614C3"/>
    <w:rsid w:val="00561D8D"/>
    <w:rsid w:val="00562914"/>
    <w:rsid w:val="00565193"/>
    <w:rsid w:val="0056601E"/>
    <w:rsid w:val="0057306A"/>
    <w:rsid w:val="005737CC"/>
    <w:rsid w:val="00574266"/>
    <w:rsid w:val="00582401"/>
    <w:rsid w:val="005844D0"/>
    <w:rsid w:val="0059131E"/>
    <w:rsid w:val="00591D51"/>
    <w:rsid w:val="00592BF9"/>
    <w:rsid w:val="005979E1"/>
    <w:rsid w:val="005A2DD6"/>
    <w:rsid w:val="005A7647"/>
    <w:rsid w:val="005B3F10"/>
    <w:rsid w:val="005B4F6D"/>
    <w:rsid w:val="005B7AEF"/>
    <w:rsid w:val="005C08E2"/>
    <w:rsid w:val="005C093D"/>
    <w:rsid w:val="005C09F0"/>
    <w:rsid w:val="005C0FD1"/>
    <w:rsid w:val="005C41CB"/>
    <w:rsid w:val="005D0642"/>
    <w:rsid w:val="005D15F7"/>
    <w:rsid w:val="005D3D25"/>
    <w:rsid w:val="005D40ED"/>
    <w:rsid w:val="005D423E"/>
    <w:rsid w:val="005E4A89"/>
    <w:rsid w:val="005F6CB5"/>
    <w:rsid w:val="00604B87"/>
    <w:rsid w:val="00606214"/>
    <w:rsid w:val="00610A05"/>
    <w:rsid w:val="00611646"/>
    <w:rsid w:val="00612580"/>
    <w:rsid w:val="006130D1"/>
    <w:rsid w:val="006132C4"/>
    <w:rsid w:val="0061484D"/>
    <w:rsid w:val="006227B7"/>
    <w:rsid w:val="00624EFC"/>
    <w:rsid w:val="0062599C"/>
    <w:rsid w:val="00630DB0"/>
    <w:rsid w:val="00630E71"/>
    <w:rsid w:val="006378AC"/>
    <w:rsid w:val="006378D4"/>
    <w:rsid w:val="00644858"/>
    <w:rsid w:val="006452F9"/>
    <w:rsid w:val="00654661"/>
    <w:rsid w:val="00656FCB"/>
    <w:rsid w:val="0065734C"/>
    <w:rsid w:val="0065735D"/>
    <w:rsid w:val="006573E9"/>
    <w:rsid w:val="00657CC2"/>
    <w:rsid w:val="00663864"/>
    <w:rsid w:val="0066637B"/>
    <w:rsid w:val="0066705D"/>
    <w:rsid w:val="00670C07"/>
    <w:rsid w:val="00670D29"/>
    <w:rsid w:val="00672F24"/>
    <w:rsid w:val="00673328"/>
    <w:rsid w:val="0067785B"/>
    <w:rsid w:val="00680196"/>
    <w:rsid w:val="00681BC1"/>
    <w:rsid w:val="006838BE"/>
    <w:rsid w:val="00692A0E"/>
    <w:rsid w:val="00694C68"/>
    <w:rsid w:val="006A2B9B"/>
    <w:rsid w:val="006A49E2"/>
    <w:rsid w:val="006B00A8"/>
    <w:rsid w:val="006B03C7"/>
    <w:rsid w:val="006B0F9E"/>
    <w:rsid w:val="006B1FE7"/>
    <w:rsid w:val="006B5370"/>
    <w:rsid w:val="006C0AA4"/>
    <w:rsid w:val="006C4A6A"/>
    <w:rsid w:val="006D3565"/>
    <w:rsid w:val="006D3D98"/>
    <w:rsid w:val="006D75EB"/>
    <w:rsid w:val="006E3C41"/>
    <w:rsid w:val="006E72A4"/>
    <w:rsid w:val="006E77DD"/>
    <w:rsid w:val="006E7920"/>
    <w:rsid w:val="006F0AF4"/>
    <w:rsid w:val="006F79A6"/>
    <w:rsid w:val="00700F4B"/>
    <w:rsid w:val="00704EA3"/>
    <w:rsid w:val="007060EC"/>
    <w:rsid w:val="0071021A"/>
    <w:rsid w:val="00710A7E"/>
    <w:rsid w:val="007139B9"/>
    <w:rsid w:val="00714F81"/>
    <w:rsid w:val="007168DC"/>
    <w:rsid w:val="00717EA0"/>
    <w:rsid w:val="0072046B"/>
    <w:rsid w:val="00720615"/>
    <w:rsid w:val="007235DA"/>
    <w:rsid w:val="00730D1F"/>
    <w:rsid w:val="007325AB"/>
    <w:rsid w:val="00733E22"/>
    <w:rsid w:val="007347F2"/>
    <w:rsid w:val="00742A44"/>
    <w:rsid w:val="007542C6"/>
    <w:rsid w:val="0075444D"/>
    <w:rsid w:val="00764CB9"/>
    <w:rsid w:val="007651FC"/>
    <w:rsid w:val="0076560D"/>
    <w:rsid w:val="00772421"/>
    <w:rsid w:val="00776A5E"/>
    <w:rsid w:val="00786DD6"/>
    <w:rsid w:val="0079173A"/>
    <w:rsid w:val="007932A8"/>
    <w:rsid w:val="0079582C"/>
    <w:rsid w:val="0079784C"/>
    <w:rsid w:val="007A05F1"/>
    <w:rsid w:val="007A13E7"/>
    <w:rsid w:val="007A2301"/>
    <w:rsid w:val="007A508F"/>
    <w:rsid w:val="007A604A"/>
    <w:rsid w:val="007B1D11"/>
    <w:rsid w:val="007B34AE"/>
    <w:rsid w:val="007B44D0"/>
    <w:rsid w:val="007B4A9C"/>
    <w:rsid w:val="007B55B7"/>
    <w:rsid w:val="007C2F9B"/>
    <w:rsid w:val="007C410F"/>
    <w:rsid w:val="007C6888"/>
    <w:rsid w:val="007D1988"/>
    <w:rsid w:val="007D4CEC"/>
    <w:rsid w:val="007D6E9A"/>
    <w:rsid w:val="007E0EC3"/>
    <w:rsid w:val="007E57C4"/>
    <w:rsid w:val="007F092B"/>
    <w:rsid w:val="007F1239"/>
    <w:rsid w:val="007F13E6"/>
    <w:rsid w:val="007F149B"/>
    <w:rsid w:val="007F3979"/>
    <w:rsid w:val="007F4D46"/>
    <w:rsid w:val="008043B4"/>
    <w:rsid w:val="008059CC"/>
    <w:rsid w:val="00806176"/>
    <w:rsid w:val="00806660"/>
    <w:rsid w:val="00806697"/>
    <w:rsid w:val="00810D53"/>
    <w:rsid w:val="00811DAC"/>
    <w:rsid w:val="00812286"/>
    <w:rsid w:val="0081357D"/>
    <w:rsid w:val="00814453"/>
    <w:rsid w:val="0081687D"/>
    <w:rsid w:val="00817AB1"/>
    <w:rsid w:val="00820BF5"/>
    <w:rsid w:val="00823529"/>
    <w:rsid w:val="00830F2E"/>
    <w:rsid w:val="00836935"/>
    <w:rsid w:val="00851A7B"/>
    <w:rsid w:val="008520E2"/>
    <w:rsid w:val="008546A7"/>
    <w:rsid w:val="00855D30"/>
    <w:rsid w:val="00857F54"/>
    <w:rsid w:val="00861059"/>
    <w:rsid w:val="00863EC2"/>
    <w:rsid w:val="00864C77"/>
    <w:rsid w:val="0087417A"/>
    <w:rsid w:val="00875B22"/>
    <w:rsid w:val="00882580"/>
    <w:rsid w:val="00885043"/>
    <w:rsid w:val="00886D08"/>
    <w:rsid w:val="0089054E"/>
    <w:rsid w:val="0089374A"/>
    <w:rsid w:val="00897593"/>
    <w:rsid w:val="00897E2F"/>
    <w:rsid w:val="008A0814"/>
    <w:rsid w:val="008A0B66"/>
    <w:rsid w:val="008A0D7D"/>
    <w:rsid w:val="008A0EFE"/>
    <w:rsid w:val="008A4348"/>
    <w:rsid w:val="008A4AC1"/>
    <w:rsid w:val="008A6E4D"/>
    <w:rsid w:val="008A793D"/>
    <w:rsid w:val="008B0017"/>
    <w:rsid w:val="008B67C0"/>
    <w:rsid w:val="008B70B2"/>
    <w:rsid w:val="008C0E18"/>
    <w:rsid w:val="008C27FC"/>
    <w:rsid w:val="008C3328"/>
    <w:rsid w:val="008C3B7D"/>
    <w:rsid w:val="008C45D9"/>
    <w:rsid w:val="008C517F"/>
    <w:rsid w:val="008C68CC"/>
    <w:rsid w:val="008D3017"/>
    <w:rsid w:val="008D3556"/>
    <w:rsid w:val="008D7E43"/>
    <w:rsid w:val="008E3157"/>
    <w:rsid w:val="008E3652"/>
    <w:rsid w:val="008E79E2"/>
    <w:rsid w:val="008F56CF"/>
    <w:rsid w:val="008F6D58"/>
    <w:rsid w:val="00901BC6"/>
    <w:rsid w:val="009036B9"/>
    <w:rsid w:val="009037B9"/>
    <w:rsid w:val="00907804"/>
    <w:rsid w:val="00907F5D"/>
    <w:rsid w:val="00914DAC"/>
    <w:rsid w:val="00915012"/>
    <w:rsid w:val="00915DDB"/>
    <w:rsid w:val="00920882"/>
    <w:rsid w:val="009279F5"/>
    <w:rsid w:val="00927A9F"/>
    <w:rsid w:val="00930946"/>
    <w:rsid w:val="00931ADC"/>
    <w:rsid w:val="0093492C"/>
    <w:rsid w:val="00935557"/>
    <w:rsid w:val="0093708D"/>
    <w:rsid w:val="00937214"/>
    <w:rsid w:val="00951CEF"/>
    <w:rsid w:val="00954487"/>
    <w:rsid w:val="009550C9"/>
    <w:rsid w:val="00957043"/>
    <w:rsid w:val="009632E1"/>
    <w:rsid w:val="00966BB7"/>
    <w:rsid w:val="009707CA"/>
    <w:rsid w:val="009711C5"/>
    <w:rsid w:val="00975301"/>
    <w:rsid w:val="0098098D"/>
    <w:rsid w:val="00994CB8"/>
    <w:rsid w:val="009A05FB"/>
    <w:rsid w:val="009A130C"/>
    <w:rsid w:val="009A1343"/>
    <w:rsid w:val="009A5962"/>
    <w:rsid w:val="009A678C"/>
    <w:rsid w:val="009A7D45"/>
    <w:rsid w:val="009B20BA"/>
    <w:rsid w:val="009B62EA"/>
    <w:rsid w:val="009C3049"/>
    <w:rsid w:val="009C4223"/>
    <w:rsid w:val="009C573E"/>
    <w:rsid w:val="009D5D4C"/>
    <w:rsid w:val="009F12D8"/>
    <w:rsid w:val="009F23C4"/>
    <w:rsid w:val="009F366B"/>
    <w:rsid w:val="009F3E7F"/>
    <w:rsid w:val="009F3EE7"/>
    <w:rsid w:val="009F5B38"/>
    <w:rsid w:val="009F624E"/>
    <w:rsid w:val="009F6FEF"/>
    <w:rsid w:val="009F78EF"/>
    <w:rsid w:val="00A01452"/>
    <w:rsid w:val="00A0339D"/>
    <w:rsid w:val="00A044AE"/>
    <w:rsid w:val="00A055E1"/>
    <w:rsid w:val="00A07367"/>
    <w:rsid w:val="00A07D5D"/>
    <w:rsid w:val="00A10FE3"/>
    <w:rsid w:val="00A124AC"/>
    <w:rsid w:val="00A16749"/>
    <w:rsid w:val="00A16D87"/>
    <w:rsid w:val="00A21F50"/>
    <w:rsid w:val="00A234CB"/>
    <w:rsid w:val="00A25ADC"/>
    <w:rsid w:val="00A27BC6"/>
    <w:rsid w:val="00A30021"/>
    <w:rsid w:val="00A32225"/>
    <w:rsid w:val="00A330BA"/>
    <w:rsid w:val="00A363B6"/>
    <w:rsid w:val="00A44536"/>
    <w:rsid w:val="00A4512A"/>
    <w:rsid w:val="00A46BF5"/>
    <w:rsid w:val="00A51419"/>
    <w:rsid w:val="00A530D4"/>
    <w:rsid w:val="00A55D2D"/>
    <w:rsid w:val="00A56160"/>
    <w:rsid w:val="00A57447"/>
    <w:rsid w:val="00A57FFE"/>
    <w:rsid w:val="00A6658B"/>
    <w:rsid w:val="00A75C91"/>
    <w:rsid w:val="00A7741C"/>
    <w:rsid w:val="00A8130E"/>
    <w:rsid w:val="00A81353"/>
    <w:rsid w:val="00A81B77"/>
    <w:rsid w:val="00A82230"/>
    <w:rsid w:val="00A82512"/>
    <w:rsid w:val="00A840B7"/>
    <w:rsid w:val="00A85CF9"/>
    <w:rsid w:val="00A87594"/>
    <w:rsid w:val="00A9067D"/>
    <w:rsid w:val="00AA12E4"/>
    <w:rsid w:val="00AA1650"/>
    <w:rsid w:val="00AA49DC"/>
    <w:rsid w:val="00AB16A0"/>
    <w:rsid w:val="00AB75AA"/>
    <w:rsid w:val="00AC6DF9"/>
    <w:rsid w:val="00AC7C83"/>
    <w:rsid w:val="00AC7F8A"/>
    <w:rsid w:val="00AD2835"/>
    <w:rsid w:val="00AD3D94"/>
    <w:rsid w:val="00AD4215"/>
    <w:rsid w:val="00AD6135"/>
    <w:rsid w:val="00AD6257"/>
    <w:rsid w:val="00AD6925"/>
    <w:rsid w:val="00AE04B4"/>
    <w:rsid w:val="00AE41E6"/>
    <w:rsid w:val="00AF08DA"/>
    <w:rsid w:val="00AF7427"/>
    <w:rsid w:val="00AF7BC4"/>
    <w:rsid w:val="00B01B8A"/>
    <w:rsid w:val="00B02C2E"/>
    <w:rsid w:val="00B0692C"/>
    <w:rsid w:val="00B11341"/>
    <w:rsid w:val="00B146E2"/>
    <w:rsid w:val="00B16510"/>
    <w:rsid w:val="00B16CA3"/>
    <w:rsid w:val="00B17922"/>
    <w:rsid w:val="00B202FF"/>
    <w:rsid w:val="00B218CC"/>
    <w:rsid w:val="00B220A3"/>
    <w:rsid w:val="00B2483B"/>
    <w:rsid w:val="00B2512A"/>
    <w:rsid w:val="00B26D48"/>
    <w:rsid w:val="00B275E6"/>
    <w:rsid w:val="00B27ACE"/>
    <w:rsid w:val="00B32D71"/>
    <w:rsid w:val="00B4123B"/>
    <w:rsid w:val="00B44853"/>
    <w:rsid w:val="00B4579C"/>
    <w:rsid w:val="00B46594"/>
    <w:rsid w:val="00B528E3"/>
    <w:rsid w:val="00B54E5A"/>
    <w:rsid w:val="00B555E6"/>
    <w:rsid w:val="00B801F3"/>
    <w:rsid w:val="00B803CE"/>
    <w:rsid w:val="00B8048F"/>
    <w:rsid w:val="00B83454"/>
    <w:rsid w:val="00B849EE"/>
    <w:rsid w:val="00B84D02"/>
    <w:rsid w:val="00B85CCE"/>
    <w:rsid w:val="00B86E68"/>
    <w:rsid w:val="00B951BF"/>
    <w:rsid w:val="00B9544F"/>
    <w:rsid w:val="00B96A94"/>
    <w:rsid w:val="00B96CFE"/>
    <w:rsid w:val="00BA03B3"/>
    <w:rsid w:val="00BA2940"/>
    <w:rsid w:val="00BA2F86"/>
    <w:rsid w:val="00BA75F8"/>
    <w:rsid w:val="00BA7C84"/>
    <w:rsid w:val="00BB0B8C"/>
    <w:rsid w:val="00BB3E16"/>
    <w:rsid w:val="00BC3E47"/>
    <w:rsid w:val="00BC5F50"/>
    <w:rsid w:val="00BD0F69"/>
    <w:rsid w:val="00BD71CE"/>
    <w:rsid w:val="00BD7CBA"/>
    <w:rsid w:val="00BE020E"/>
    <w:rsid w:val="00BE20B2"/>
    <w:rsid w:val="00BE5EFD"/>
    <w:rsid w:val="00BF3768"/>
    <w:rsid w:val="00BF7EDE"/>
    <w:rsid w:val="00C0073A"/>
    <w:rsid w:val="00C0357E"/>
    <w:rsid w:val="00C12A1D"/>
    <w:rsid w:val="00C13568"/>
    <w:rsid w:val="00C16E53"/>
    <w:rsid w:val="00C213C4"/>
    <w:rsid w:val="00C215E4"/>
    <w:rsid w:val="00C24346"/>
    <w:rsid w:val="00C262A2"/>
    <w:rsid w:val="00C27A77"/>
    <w:rsid w:val="00C321AE"/>
    <w:rsid w:val="00C33B8A"/>
    <w:rsid w:val="00C3426B"/>
    <w:rsid w:val="00C35527"/>
    <w:rsid w:val="00C431B4"/>
    <w:rsid w:val="00C50767"/>
    <w:rsid w:val="00C50DFC"/>
    <w:rsid w:val="00C50E03"/>
    <w:rsid w:val="00C51D4D"/>
    <w:rsid w:val="00C53075"/>
    <w:rsid w:val="00C57243"/>
    <w:rsid w:val="00C63154"/>
    <w:rsid w:val="00C63BEC"/>
    <w:rsid w:val="00C654FD"/>
    <w:rsid w:val="00C656E6"/>
    <w:rsid w:val="00C71B08"/>
    <w:rsid w:val="00C725D1"/>
    <w:rsid w:val="00C82590"/>
    <w:rsid w:val="00C84EC1"/>
    <w:rsid w:val="00C8597B"/>
    <w:rsid w:val="00C85D39"/>
    <w:rsid w:val="00C86C59"/>
    <w:rsid w:val="00C913CB"/>
    <w:rsid w:val="00C91C5A"/>
    <w:rsid w:val="00C91EF9"/>
    <w:rsid w:val="00C94A1F"/>
    <w:rsid w:val="00C95D68"/>
    <w:rsid w:val="00C96AA6"/>
    <w:rsid w:val="00CA0871"/>
    <w:rsid w:val="00CB3FA8"/>
    <w:rsid w:val="00CC30F0"/>
    <w:rsid w:val="00CC4C59"/>
    <w:rsid w:val="00CC756E"/>
    <w:rsid w:val="00CD3596"/>
    <w:rsid w:val="00CD5F42"/>
    <w:rsid w:val="00CD6D73"/>
    <w:rsid w:val="00CD6D9A"/>
    <w:rsid w:val="00CE48AD"/>
    <w:rsid w:val="00CE4B46"/>
    <w:rsid w:val="00CF3A4C"/>
    <w:rsid w:val="00CF6649"/>
    <w:rsid w:val="00D00E92"/>
    <w:rsid w:val="00D02A9A"/>
    <w:rsid w:val="00D03720"/>
    <w:rsid w:val="00D0402D"/>
    <w:rsid w:val="00D055EC"/>
    <w:rsid w:val="00D06246"/>
    <w:rsid w:val="00D0654D"/>
    <w:rsid w:val="00D06751"/>
    <w:rsid w:val="00D11B13"/>
    <w:rsid w:val="00D128AC"/>
    <w:rsid w:val="00D14657"/>
    <w:rsid w:val="00D24540"/>
    <w:rsid w:val="00D27D59"/>
    <w:rsid w:val="00D30D6B"/>
    <w:rsid w:val="00D37ACE"/>
    <w:rsid w:val="00D4060F"/>
    <w:rsid w:val="00D40E43"/>
    <w:rsid w:val="00D44728"/>
    <w:rsid w:val="00D50B60"/>
    <w:rsid w:val="00D543AD"/>
    <w:rsid w:val="00D548EB"/>
    <w:rsid w:val="00D55846"/>
    <w:rsid w:val="00D562FF"/>
    <w:rsid w:val="00D5717B"/>
    <w:rsid w:val="00D63B6F"/>
    <w:rsid w:val="00D70324"/>
    <w:rsid w:val="00D76166"/>
    <w:rsid w:val="00D77391"/>
    <w:rsid w:val="00D8560F"/>
    <w:rsid w:val="00D866BC"/>
    <w:rsid w:val="00DA2F9F"/>
    <w:rsid w:val="00DA31EE"/>
    <w:rsid w:val="00DA44D6"/>
    <w:rsid w:val="00DB34AA"/>
    <w:rsid w:val="00DB4649"/>
    <w:rsid w:val="00DB4BBC"/>
    <w:rsid w:val="00DB6432"/>
    <w:rsid w:val="00DB71B9"/>
    <w:rsid w:val="00DB7FED"/>
    <w:rsid w:val="00DC1457"/>
    <w:rsid w:val="00DC1937"/>
    <w:rsid w:val="00DC1CA8"/>
    <w:rsid w:val="00DC24B0"/>
    <w:rsid w:val="00DC59DC"/>
    <w:rsid w:val="00DC6435"/>
    <w:rsid w:val="00DE25AD"/>
    <w:rsid w:val="00DE287E"/>
    <w:rsid w:val="00DE4FA9"/>
    <w:rsid w:val="00DE52A5"/>
    <w:rsid w:val="00DE5C4D"/>
    <w:rsid w:val="00DF56C9"/>
    <w:rsid w:val="00DF5774"/>
    <w:rsid w:val="00E0575A"/>
    <w:rsid w:val="00E11756"/>
    <w:rsid w:val="00E125DF"/>
    <w:rsid w:val="00E165E4"/>
    <w:rsid w:val="00E17D0D"/>
    <w:rsid w:val="00E271D1"/>
    <w:rsid w:val="00E30318"/>
    <w:rsid w:val="00E32708"/>
    <w:rsid w:val="00E3473E"/>
    <w:rsid w:val="00E43184"/>
    <w:rsid w:val="00E460D4"/>
    <w:rsid w:val="00E4615D"/>
    <w:rsid w:val="00E479C0"/>
    <w:rsid w:val="00E50A44"/>
    <w:rsid w:val="00E54B7E"/>
    <w:rsid w:val="00E55560"/>
    <w:rsid w:val="00E55A88"/>
    <w:rsid w:val="00E5799E"/>
    <w:rsid w:val="00E63C9A"/>
    <w:rsid w:val="00E6543D"/>
    <w:rsid w:val="00E65C3E"/>
    <w:rsid w:val="00E6707A"/>
    <w:rsid w:val="00E70327"/>
    <w:rsid w:val="00E71EE5"/>
    <w:rsid w:val="00E723E0"/>
    <w:rsid w:val="00E7315B"/>
    <w:rsid w:val="00E74323"/>
    <w:rsid w:val="00E77791"/>
    <w:rsid w:val="00E812F9"/>
    <w:rsid w:val="00E955F0"/>
    <w:rsid w:val="00EA5418"/>
    <w:rsid w:val="00EA7603"/>
    <w:rsid w:val="00EB297B"/>
    <w:rsid w:val="00EB6F6B"/>
    <w:rsid w:val="00EC1567"/>
    <w:rsid w:val="00EC1EDE"/>
    <w:rsid w:val="00EC254C"/>
    <w:rsid w:val="00EC33D7"/>
    <w:rsid w:val="00EC74DC"/>
    <w:rsid w:val="00ED69A7"/>
    <w:rsid w:val="00EE05BC"/>
    <w:rsid w:val="00EE46FB"/>
    <w:rsid w:val="00F02E61"/>
    <w:rsid w:val="00F03204"/>
    <w:rsid w:val="00F12529"/>
    <w:rsid w:val="00F17C0D"/>
    <w:rsid w:val="00F2754B"/>
    <w:rsid w:val="00F3345C"/>
    <w:rsid w:val="00F335B7"/>
    <w:rsid w:val="00F35D1D"/>
    <w:rsid w:val="00F37AA2"/>
    <w:rsid w:val="00F42842"/>
    <w:rsid w:val="00F43BC1"/>
    <w:rsid w:val="00F50F83"/>
    <w:rsid w:val="00F53897"/>
    <w:rsid w:val="00F559B3"/>
    <w:rsid w:val="00F5728B"/>
    <w:rsid w:val="00F6519D"/>
    <w:rsid w:val="00F651FA"/>
    <w:rsid w:val="00F7364C"/>
    <w:rsid w:val="00F75314"/>
    <w:rsid w:val="00F755D0"/>
    <w:rsid w:val="00F75A0B"/>
    <w:rsid w:val="00F762CB"/>
    <w:rsid w:val="00F81A16"/>
    <w:rsid w:val="00F82B20"/>
    <w:rsid w:val="00F83709"/>
    <w:rsid w:val="00F87880"/>
    <w:rsid w:val="00F942CE"/>
    <w:rsid w:val="00F9626E"/>
    <w:rsid w:val="00FB1010"/>
    <w:rsid w:val="00FB1F56"/>
    <w:rsid w:val="00FB25B6"/>
    <w:rsid w:val="00FB6810"/>
    <w:rsid w:val="00FD2DEA"/>
    <w:rsid w:val="00FD327B"/>
    <w:rsid w:val="00FD4B29"/>
    <w:rsid w:val="00FD5A63"/>
    <w:rsid w:val="00FD6502"/>
    <w:rsid w:val="00FD70FE"/>
    <w:rsid w:val="00FE4EF4"/>
    <w:rsid w:val="00FE662E"/>
    <w:rsid w:val="00FE67F4"/>
    <w:rsid w:val="00FE6B9A"/>
    <w:rsid w:val="00FF5624"/>
    <w:rsid w:val="00FF62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EF8A7"/>
  <w15:docId w15:val="{CEB11156-79B6-4254-9373-3BF7CAE49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406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D27D59"/>
    <w:rPr>
      <w:color w:val="0563C1"/>
      <w:u w:val="single"/>
    </w:rPr>
  </w:style>
  <w:style w:type="character" w:styleId="Hipervnculovisitado">
    <w:name w:val="FollowedHyperlink"/>
    <w:basedOn w:val="Fuentedeprrafopredeter"/>
    <w:uiPriority w:val="99"/>
    <w:semiHidden/>
    <w:unhideWhenUsed/>
    <w:rsid w:val="00D27D59"/>
    <w:rPr>
      <w:color w:val="954F72"/>
      <w:u w:val="single"/>
    </w:rPr>
  </w:style>
  <w:style w:type="paragraph" w:customStyle="1" w:styleId="xl66">
    <w:name w:val="xl66"/>
    <w:basedOn w:val="Normal"/>
    <w:rsid w:val="00D27D5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4">
    <w:name w:val="xl64"/>
    <w:basedOn w:val="Normal"/>
    <w:rsid w:val="007C410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decuadrcula2">
    <w:name w:val="Grid Table 2"/>
    <w:basedOn w:val="Tablanormal"/>
    <w:uiPriority w:val="47"/>
    <w:rsid w:val="00AC7F8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
    <w:name w:val="List Table 1 Light"/>
    <w:basedOn w:val="Tablanormal"/>
    <w:uiPriority w:val="46"/>
    <w:rsid w:val="00AC7F8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7concolores-nfasis3">
    <w:name w:val="Grid Table 7 Colorful Accent 3"/>
    <w:basedOn w:val="Tablanormal"/>
    <w:uiPriority w:val="52"/>
    <w:rsid w:val="00AC7F8A"/>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aconcuadrcula1clara">
    <w:name w:val="Grid Table 1 Light"/>
    <w:basedOn w:val="Tablanormal"/>
    <w:uiPriority w:val="46"/>
    <w:rsid w:val="00AC7F8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2">
    <w:name w:val="Plain Table 2"/>
    <w:basedOn w:val="Tablanormal"/>
    <w:uiPriority w:val="42"/>
    <w:rsid w:val="00AC7F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7concolores-nfasis2">
    <w:name w:val="Grid Table 7 Colorful Accent 2"/>
    <w:basedOn w:val="Tablanormal"/>
    <w:uiPriority w:val="52"/>
    <w:rsid w:val="00AD6257"/>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55767">
      <w:bodyDiv w:val="1"/>
      <w:marLeft w:val="0"/>
      <w:marRight w:val="0"/>
      <w:marTop w:val="0"/>
      <w:marBottom w:val="0"/>
      <w:divBdr>
        <w:top w:val="none" w:sz="0" w:space="0" w:color="auto"/>
        <w:left w:val="none" w:sz="0" w:space="0" w:color="auto"/>
        <w:bottom w:val="none" w:sz="0" w:space="0" w:color="auto"/>
        <w:right w:val="none" w:sz="0" w:space="0" w:color="auto"/>
      </w:divBdr>
    </w:div>
    <w:div w:id="66146764">
      <w:bodyDiv w:val="1"/>
      <w:marLeft w:val="0"/>
      <w:marRight w:val="0"/>
      <w:marTop w:val="0"/>
      <w:marBottom w:val="0"/>
      <w:divBdr>
        <w:top w:val="none" w:sz="0" w:space="0" w:color="auto"/>
        <w:left w:val="none" w:sz="0" w:space="0" w:color="auto"/>
        <w:bottom w:val="none" w:sz="0" w:space="0" w:color="auto"/>
        <w:right w:val="none" w:sz="0" w:space="0" w:color="auto"/>
      </w:divBdr>
    </w:div>
    <w:div w:id="69931084">
      <w:bodyDiv w:val="1"/>
      <w:marLeft w:val="0"/>
      <w:marRight w:val="0"/>
      <w:marTop w:val="0"/>
      <w:marBottom w:val="0"/>
      <w:divBdr>
        <w:top w:val="none" w:sz="0" w:space="0" w:color="auto"/>
        <w:left w:val="none" w:sz="0" w:space="0" w:color="auto"/>
        <w:bottom w:val="none" w:sz="0" w:space="0" w:color="auto"/>
        <w:right w:val="none" w:sz="0" w:space="0" w:color="auto"/>
      </w:divBdr>
    </w:div>
    <w:div w:id="71584216">
      <w:bodyDiv w:val="1"/>
      <w:marLeft w:val="0"/>
      <w:marRight w:val="0"/>
      <w:marTop w:val="0"/>
      <w:marBottom w:val="0"/>
      <w:divBdr>
        <w:top w:val="none" w:sz="0" w:space="0" w:color="auto"/>
        <w:left w:val="none" w:sz="0" w:space="0" w:color="auto"/>
        <w:bottom w:val="none" w:sz="0" w:space="0" w:color="auto"/>
        <w:right w:val="none" w:sz="0" w:space="0" w:color="auto"/>
      </w:divBdr>
    </w:div>
    <w:div w:id="100270659">
      <w:bodyDiv w:val="1"/>
      <w:marLeft w:val="0"/>
      <w:marRight w:val="0"/>
      <w:marTop w:val="0"/>
      <w:marBottom w:val="0"/>
      <w:divBdr>
        <w:top w:val="none" w:sz="0" w:space="0" w:color="auto"/>
        <w:left w:val="none" w:sz="0" w:space="0" w:color="auto"/>
        <w:bottom w:val="none" w:sz="0" w:space="0" w:color="auto"/>
        <w:right w:val="none" w:sz="0" w:space="0" w:color="auto"/>
      </w:divBdr>
    </w:div>
    <w:div w:id="153768921">
      <w:bodyDiv w:val="1"/>
      <w:marLeft w:val="0"/>
      <w:marRight w:val="0"/>
      <w:marTop w:val="0"/>
      <w:marBottom w:val="0"/>
      <w:divBdr>
        <w:top w:val="none" w:sz="0" w:space="0" w:color="auto"/>
        <w:left w:val="none" w:sz="0" w:space="0" w:color="auto"/>
        <w:bottom w:val="none" w:sz="0" w:space="0" w:color="auto"/>
        <w:right w:val="none" w:sz="0" w:space="0" w:color="auto"/>
      </w:divBdr>
    </w:div>
    <w:div w:id="210266851">
      <w:bodyDiv w:val="1"/>
      <w:marLeft w:val="0"/>
      <w:marRight w:val="0"/>
      <w:marTop w:val="0"/>
      <w:marBottom w:val="0"/>
      <w:divBdr>
        <w:top w:val="none" w:sz="0" w:space="0" w:color="auto"/>
        <w:left w:val="none" w:sz="0" w:space="0" w:color="auto"/>
        <w:bottom w:val="none" w:sz="0" w:space="0" w:color="auto"/>
        <w:right w:val="none" w:sz="0" w:space="0" w:color="auto"/>
      </w:divBdr>
    </w:div>
    <w:div w:id="210965327">
      <w:bodyDiv w:val="1"/>
      <w:marLeft w:val="0"/>
      <w:marRight w:val="0"/>
      <w:marTop w:val="0"/>
      <w:marBottom w:val="0"/>
      <w:divBdr>
        <w:top w:val="none" w:sz="0" w:space="0" w:color="auto"/>
        <w:left w:val="none" w:sz="0" w:space="0" w:color="auto"/>
        <w:bottom w:val="none" w:sz="0" w:space="0" w:color="auto"/>
        <w:right w:val="none" w:sz="0" w:space="0" w:color="auto"/>
      </w:divBdr>
    </w:div>
    <w:div w:id="220747945">
      <w:bodyDiv w:val="1"/>
      <w:marLeft w:val="0"/>
      <w:marRight w:val="0"/>
      <w:marTop w:val="0"/>
      <w:marBottom w:val="0"/>
      <w:divBdr>
        <w:top w:val="none" w:sz="0" w:space="0" w:color="auto"/>
        <w:left w:val="none" w:sz="0" w:space="0" w:color="auto"/>
        <w:bottom w:val="none" w:sz="0" w:space="0" w:color="auto"/>
        <w:right w:val="none" w:sz="0" w:space="0" w:color="auto"/>
      </w:divBdr>
    </w:div>
    <w:div w:id="302199351">
      <w:bodyDiv w:val="1"/>
      <w:marLeft w:val="0"/>
      <w:marRight w:val="0"/>
      <w:marTop w:val="0"/>
      <w:marBottom w:val="0"/>
      <w:divBdr>
        <w:top w:val="none" w:sz="0" w:space="0" w:color="auto"/>
        <w:left w:val="none" w:sz="0" w:space="0" w:color="auto"/>
        <w:bottom w:val="none" w:sz="0" w:space="0" w:color="auto"/>
        <w:right w:val="none" w:sz="0" w:space="0" w:color="auto"/>
      </w:divBdr>
    </w:div>
    <w:div w:id="361900705">
      <w:bodyDiv w:val="1"/>
      <w:marLeft w:val="0"/>
      <w:marRight w:val="0"/>
      <w:marTop w:val="0"/>
      <w:marBottom w:val="0"/>
      <w:divBdr>
        <w:top w:val="none" w:sz="0" w:space="0" w:color="auto"/>
        <w:left w:val="none" w:sz="0" w:space="0" w:color="auto"/>
        <w:bottom w:val="none" w:sz="0" w:space="0" w:color="auto"/>
        <w:right w:val="none" w:sz="0" w:space="0" w:color="auto"/>
      </w:divBdr>
    </w:div>
    <w:div w:id="366763803">
      <w:bodyDiv w:val="1"/>
      <w:marLeft w:val="0"/>
      <w:marRight w:val="0"/>
      <w:marTop w:val="0"/>
      <w:marBottom w:val="0"/>
      <w:divBdr>
        <w:top w:val="none" w:sz="0" w:space="0" w:color="auto"/>
        <w:left w:val="none" w:sz="0" w:space="0" w:color="auto"/>
        <w:bottom w:val="none" w:sz="0" w:space="0" w:color="auto"/>
        <w:right w:val="none" w:sz="0" w:space="0" w:color="auto"/>
      </w:divBdr>
    </w:div>
    <w:div w:id="368385999">
      <w:bodyDiv w:val="1"/>
      <w:marLeft w:val="0"/>
      <w:marRight w:val="0"/>
      <w:marTop w:val="0"/>
      <w:marBottom w:val="0"/>
      <w:divBdr>
        <w:top w:val="none" w:sz="0" w:space="0" w:color="auto"/>
        <w:left w:val="none" w:sz="0" w:space="0" w:color="auto"/>
        <w:bottom w:val="none" w:sz="0" w:space="0" w:color="auto"/>
        <w:right w:val="none" w:sz="0" w:space="0" w:color="auto"/>
      </w:divBdr>
    </w:div>
    <w:div w:id="422071240">
      <w:bodyDiv w:val="1"/>
      <w:marLeft w:val="0"/>
      <w:marRight w:val="0"/>
      <w:marTop w:val="0"/>
      <w:marBottom w:val="0"/>
      <w:divBdr>
        <w:top w:val="none" w:sz="0" w:space="0" w:color="auto"/>
        <w:left w:val="none" w:sz="0" w:space="0" w:color="auto"/>
        <w:bottom w:val="none" w:sz="0" w:space="0" w:color="auto"/>
        <w:right w:val="none" w:sz="0" w:space="0" w:color="auto"/>
      </w:divBdr>
    </w:div>
    <w:div w:id="498229650">
      <w:bodyDiv w:val="1"/>
      <w:marLeft w:val="0"/>
      <w:marRight w:val="0"/>
      <w:marTop w:val="0"/>
      <w:marBottom w:val="0"/>
      <w:divBdr>
        <w:top w:val="none" w:sz="0" w:space="0" w:color="auto"/>
        <w:left w:val="none" w:sz="0" w:space="0" w:color="auto"/>
        <w:bottom w:val="none" w:sz="0" w:space="0" w:color="auto"/>
        <w:right w:val="none" w:sz="0" w:space="0" w:color="auto"/>
      </w:divBdr>
    </w:div>
    <w:div w:id="523401013">
      <w:bodyDiv w:val="1"/>
      <w:marLeft w:val="0"/>
      <w:marRight w:val="0"/>
      <w:marTop w:val="0"/>
      <w:marBottom w:val="0"/>
      <w:divBdr>
        <w:top w:val="none" w:sz="0" w:space="0" w:color="auto"/>
        <w:left w:val="none" w:sz="0" w:space="0" w:color="auto"/>
        <w:bottom w:val="none" w:sz="0" w:space="0" w:color="auto"/>
        <w:right w:val="none" w:sz="0" w:space="0" w:color="auto"/>
      </w:divBdr>
    </w:div>
    <w:div w:id="574357910">
      <w:bodyDiv w:val="1"/>
      <w:marLeft w:val="0"/>
      <w:marRight w:val="0"/>
      <w:marTop w:val="0"/>
      <w:marBottom w:val="0"/>
      <w:divBdr>
        <w:top w:val="none" w:sz="0" w:space="0" w:color="auto"/>
        <w:left w:val="none" w:sz="0" w:space="0" w:color="auto"/>
        <w:bottom w:val="none" w:sz="0" w:space="0" w:color="auto"/>
        <w:right w:val="none" w:sz="0" w:space="0" w:color="auto"/>
      </w:divBdr>
    </w:div>
    <w:div w:id="596986315">
      <w:bodyDiv w:val="1"/>
      <w:marLeft w:val="0"/>
      <w:marRight w:val="0"/>
      <w:marTop w:val="0"/>
      <w:marBottom w:val="0"/>
      <w:divBdr>
        <w:top w:val="none" w:sz="0" w:space="0" w:color="auto"/>
        <w:left w:val="none" w:sz="0" w:space="0" w:color="auto"/>
        <w:bottom w:val="none" w:sz="0" w:space="0" w:color="auto"/>
        <w:right w:val="none" w:sz="0" w:space="0" w:color="auto"/>
      </w:divBdr>
    </w:div>
    <w:div w:id="636183154">
      <w:bodyDiv w:val="1"/>
      <w:marLeft w:val="0"/>
      <w:marRight w:val="0"/>
      <w:marTop w:val="0"/>
      <w:marBottom w:val="0"/>
      <w:divBdr>
        <w:top w:val="none" w:sz="0" w:space="0" w:color="auto"/>
        <w:left w:val="none" w:sz="0" w:space="0" w:color="auto"/>
        <w:bottom w:val="none" w:sz="0" w:space="0" w:color="auto"/>
        <w:right w:val="none" w:sz="0" w:space="0" w:color="auto"/>
      </w:divBdr>
    </w:div>
    <w:div w:id="640230142">
      <w:bodyDiv w:val="1"/>
      <w:marLeft w:val="0"/>
      <w:marRight w:val="0"/>
      <w:marTop w:val="0"/>
      <w:marBottom w:val="0"/>
      <w:divBdr>
        <w:top w:val="none" w:sz="0" w:space="0" w:color="auto"/>
        <w:left w:val="none" w:sz="0" w:space="0" w:color="auto"/>
        <w:bottom w:val="none" w:sz="0" w:space="0" w:color="auto"/>
        <w:right w:val="none" w:sz="0" w:space="0" w:color="auto"/>
      </w:divBdr>
    </w:div>
    <w:div w:id="641737873">
      <w:bodyDiv w:val="1"/>
      <w:marLeft w:val="0"/>
      <w:marRight w:val="0"/>
      <w:marTop w:val="0"/>
      <w:marBottom w:val="0"/>
      <w:divBdr>
        <w:top w:val="none" w:sz="0" w:space="0" w:color="auto"/>
        <w:left w:val="none" w:sz="0" w:space="0" w:color="auto"/>
        <w:bottom w:val="none" w:sz="0" w:space="0" w:color="auto"/>
        <w:right w:val="none" w:sz="0" w:space="0" w:color="auto"/>
      </w:divBdr>
    </w:div>
    <w:div w:id="721516400">
      <w:bodyDiv w:val="1"/>
      <w:marLeft w:val="0"/>
      <w:marRight w:val="0"/>
      <w:marTop w:val="0"/>
      <w:marBottom w:val="0"/>
      <w:divBdr>
        <w:top w:val="none" w:sz="0" w:space="0" w:color="auto"/>
        <w:left w:val="none" w:sz="0" w:space="0" w:color="auto"/>
        <w:bottom w:val="none" w:sz="0" w:space="0" w:color="auto"/>
        <w:right w:val="none" w:sz="0" w:space="0" w:color="auto"/>
      </w:divBdr>
    </w:div>
    <w:div w:id="775901139">
      <w:bodyDiv w:val="1"/>
      <w:marLeft w:val="0"/>
      <w:marRight w:val="0"/>
      <w:marTop w:val="0"/>
      <w:marBottom w:val="0"/>
      <w:divBdr>
        <w:top w:val="none" w:sz="0" w:space="0" w:color="auto"/>
        <w:left w:val="none" w:sz="0" w:space="0" w:color="auto"/>
        <w:bottom w:val="none" w:sz="0" w:space="0" w:color="auto"/>
        <w:right w:val="none" w:sz="0" w:space="0" w:color="auto"/>
      </w:divBdr>
    </w:div>
    <w:div w:id="786705687">
      <w:bodyDiv w:val="1"/>
      <w:marLeft w:val="0"/>
      <w:marRight w:val="0"/>
      <w:marTop w:val="0"/>
      <w:marBottom w:val="0"/>
      <w:divBdr>
        <w:top w:val="none" w:sz="0" w:space="0" w:color="auto"/>
        <w:left w:val="none" w:sz="0" w:space="0" w:color="auto"/>
        <w:bottom w:val="none" w:sz="0" w:space="0" w:color="auto"/>
        <w:right w:val="none" w:sz="0" w:space="0" w:color="auto"/>
      </w:divBdr>
    </w:div>
    <w:div w:id="790325165">
      <w:bodyDiv w:val="1"/>
      <w:marLeft w:val="0"/>
      <w:marRight w:val="0"/>
      <w:marTop w:val="0"/>
      <w:marBottom w:val="0"/>
      <w:divBdr>
        <w:top w:val="none" w:sz="0" w:space="0" w:color="auto"/>
        <w:left w:val="none" w:sz="0" w:space="0" w:color="auto"/>
        <w:bottom w:val="none" w:sz="0" w:space="0" w:color="auto"/>
        <w:right w:val="none" w:sz="0" w:space="0" w:color="auto"/>
      </w:divBdr>
    </w:div>
    <w:div w:id="855071311">
      <w:bodyDiv w:val="1"/>
      <w:marLeft w:val="0"/>
      <w:marRight w:val="0"/>
      <w:marTop w:val="0"/>
      <w:marBottom w:val="0"/>
      <w:divBdr>
        <w:top w:val="none" w:sz="0" w:space="0" w:color="auto"/>
        <w:left w:val="none" w:sz="0" w:space="0" w:color="auto"/>
        <w:bottom w:val="none" w:sz="0" w:space="0" w:color="auto"/>
        <w:right w:val="none" w:sz="0" w:space="0" w:color="auto"/>
      </w:divBdr>
    </w:div>
    <w:div w:id="912542311">
      <w:bodyDiv w:val="1"/>
      <w:marLeft w:val="0"/>
      <w:marRight w:val="0"/>
      <w:marTop w:val="0"/>
      <w:marBottom w:val="0"/>
      <w:divBdr>
        <w:top w:val="none" w:sz="0" w:space="0" w:color="auto"/>
        <w:left w:val="none" w:sz="0" w:space="0" w:color="auto"/>
        <w:bottom w:val="none" w:sz="0" w:space="0" w:color="auto"/>
        <w:right w:val="none" w:sz="0" w:space="0" w:color="auto"/>
      </w:divBdr>
    </w:div>
    <w:div w:id="928736210">
      <w:bodyDiv w:val="1"/>
      <w:marLeft w:val="0"/>
      <w:marRight w:val="0"/>
      <w:marTop w:val="0"/>
      <w:marBottom w:val="0"/>
      <w:divBdr>
        <w:top w:val="none" w:sz="0" w:space="0" w:color="auto"/>
        <w:left w:val="none" w:sz="0" w:space="0" w:color="auto"/>
        <w:bottom w:val="none" w:sz="0" w:space="0" w:color="auto"/>
        <w:right w:val="none" w:sz="0" w:space="0" w:color="auto"/>
      </w:divBdr>
    </w:div>
    <w:div w:id="929505039">
      <w:bodyDiv w:val="1"/>
      <w:marLeft w:val="0"/>
      <w:marRight w:val="0"/>
      <w:marTop w:val="0"/>
      <w:marBottom w:val="0"/>
      <w:divBdr>
        <w:top w:val="none" w:sz="0" w:space="0" w:color="auto"/>
        <w:left w:val="none" w:sz="0" w:space="0" w:color="auto"/>
        <w:bottom w:val="none" w:sz="0" w:space="0" w:color="auto"/>
        <w:right w:val="none" w:sz="0" w:space="0" w:color="auto"/>
      </w:divBdr>
    </w:div>
    <w:div w:id="931861902">
      <w:bodyDiv w:val="1"/>
      <w:marLeft w:val="0"/>
      <w:marRight w:val="0"/>
      <w:marTop w:val="0"/>
      <w:marBottom w:val="0"/>
      <w:divBdr>
        <w:top w:val="none" w:sz="0" w:space="0" w:color="auto"/>
        <w:left w:val="none" w:sz="0" w:space="0" w:color="auto"/>
        <w:bottom w:val="none" w:sz="0" w:space="0" w:color="auto"/>
        <w:right w:val="none" w:sz="0" w:space="0" w:color="auto"/>
      </w:divBdr>
    </w:div>
    <w:div w:id="972103786">
      <w:bodyDiv w:val="1"/>
      <w:marLeft w:val="0"/>
      <w:marRight w:val="0"/>
      <w:marTop w:val="0"/>
      <w:marBottom w:val="0"/>
      <w:divBdr>
        <w:top w:val="none" w:sz="0" w:space="0" w:color="auto"/>
        <w:left w:val="none" w:sz="0" w:space="0" w:color="auto"/>
        <w:bottom w:val="none" w:sz="0" w:space="0" w:color="auto"/>
        <w:right w:val="none" w:sz="0" w:space="0" w:color="auto"/>
      </w:divBdr>
    </w:div>
    <w:div w:id="1015112158">
      <w:bodyDiv w:val="1"/>
      <w:marLeft w:val="0"/>
      <w:marRight w:val="0"/>
      <w:marTop w:val="0"/>
      <w:marBottom w:val="0"/>
      <w:divBdr>
        <w:top w:val="none" w:sz="0" w:space="0" w:color="auto"/>
        <w:left w:val="none" w:sz="0" w:space="0" w:color="auto"/>
        <w:bottom w:val="none" w:sz="0" w:space="0" w:color="auto"/>
        <w:right w:val="none" w:sz="0" w:space="0" w:color="auto"/>
      </w:divBdr>
    </w:div>
    <w:div w:id="1024752547">
      <w:bodyDiv w:val="1"/>
      <w:marLeft w:val="0"/>
      <w:marRight w:val="0"/>
      <w:marTop w:val="0"/>
      <w:marBottom w:val="0"/>
      <w:divBdr>
        <w:top w:val="none" w:sz="0" w:space="0" w:color="auto"/>
        <w:left w:val="none" w:sz="0" w:space="0" w:color="auto"/>
        <w:bottom w:val="none" w:sz="0" w:space="0" w:color="auto"/>
        <w:right w:val="none" w:sz="0" w:space="0" w:color="auto"/>
      </w:divBdr>
    </w:div>
    <w:div w:id="1025328719">
      <w:bodyDiv w:val="1"/>
      <w:marLeft w:val="0"/>
      <w:marRight w:val="0"/>
      <w:marTop w:val="0"/>
      <w:marBottom w:val="0"/>
      <w:divBdr>
        <w:top w:val="none" w:sz="0" w:space="0" w:color="auto"/>
        <w:left w:val="none" w:sz="0" w:space="0" w:color="auto"/>
        <w:bottom w:val="none" w:sz="0" w:space="0" w:color="auto"/>
        <w:right w:val="none" w:sz="0" w:space="0" w:color="auto"/>
      </w:divBdr>
    </w:div>
    <w:div w:id="1026717614">
      <w:bodyDiv w:val="1"/>
      <w:marLeft w:val="0"/>
      <w:marRight w:val="0"/>
      <w:marTop w:val="0"/>
      <w:marBottom w:val="0"/>
      <w:divBdr>
        <w:top w:val="none" w:sz="0" w:space="0" w:color="auto"/>
        <w:left w:val="none" w:sz="0" w:space="0" w:color="auto"/>
        <w:bottom w:val="none" w:sz="0" w:space="0" w:color="auto"/>
        <w:right w:val="none" w:sz="0" w:space="0" w:color="auto"/>
      </w:divBdr>
    </w:div>
    <w:div w:id="1060326943">
      <w:bodyDiv w:val="1"/>
      <w:marLeft w:val="0"/>
      <w:marRight w:val="0"/>
      <w:marTop w:val="0"/>
      <w:marBottom w:val="0"/>
      <w:divBdr>
        <w:top w:val="none" w:sz="0" w:space="0" w:color="auto"/>
        <w:left w:val="none" w:sz="0" w:space="0" w:color="auto"/>
        <w:bottom w:val="none" w:sz="0" w:space="0" w:color="auto"/>
        <w:right w:val="none" w:sz="0" w:space="0" w:color="auto"/>
      </w:divBdr>
    </w:div>
    <w:div w:id="1075863569">
      <w:bodyDiv w:val="1"/>
      <w:marLeft w:val="0"/>
      <w:marRight w:val="0"/>
      <w:marTop w:val="0"/>
      <w:marBottom w:val="0"/>
      <w:divBdr>
        <w:top w:val="none" w:sz="0" w:space="0" w:color="auto"/>
        <w:left w:val="none" w:sz="0" w:space="0" w:color="auto"/>
        <w:bottom w:val="none" w:sz="0" w:space="0" w:color="auto"/>
        <w:right w:val="none" w:sz="0" w:space="0" w:color="auto"/>
      </w:divBdr>
    </w:div>
    <w:div w:id="1093893880">
      <w:bodyDiv w:val="1"/>
      <w:marLeft w:val="0"/>
      <w:marRight w:val="0"/>
      <w:marTop w:val="0"/>
      <w:marBottom w:val="0"/>
      <w:divBdr>
        <w:top w:val="none" w:sz="0" w:space="0" w:color="auto"/>
        <w:left w:val="none" w:sz="0" w:space="0" w:color="auto"/>
        <w:bottom w:val="none" w:sz="0" w:space="0" w:color="auto"/>
        <w:right w:val="none" w:sz="0" w:space="0" w:color="auto"/>
      </w:divBdr>
    </w:div>
    <w:div w:id="1130435452">
      <w:bodyDiv w:val="1"/>
      <w:marLeft w:val="0"/>
      <w:marRight w:val="0"/>
      <w:marTop w:val="0"/>
      <w:marBottom w:val="0"/>
      <w:divBdr>
        <w:top w:val="none" w:sz="0" w:space="0" w:color="auto"/>
        <w:left w:val="none" w:sz="0" w:space="0" w:color="auto"/>
        <w:bottom w:val="none" w:sz="0" w:space="0" w:color="auto"/>
        <w:right w:val="none" w:sz="0" w:space="0" w:color="auto"/>
      </w:divBdr>
    </w:div>
    <w:div w:id="1294940166">
      <w:bodyDiv w:val="1"/>
      <w:marLeft w:val="0"/>
      <w:marRight w:val="0"/>
      <w:marTop w:val="0"/>
      <w:marBottom w:val="0"/>
      <w:divBdr>
        <w:top w:val="none" w:sz="0" w:space="0" w:color="auto"/>
        <w:left w:val="none" w:sz="0" w:space="0" w:color="auto"/>
        <w:bottom w:val="none" w:sz="0" w:space="0" w:color="auto"/>
        <w:right w:val="none" w:sz="0" w:space="0" w:color="auto"/>
      </w:divBdr>
    </w:div>
    <w:div w:id="1361398887">
      <w:bodyDiv w:val="1"/>
      <w:marLeft w:val="0"/>
      <w:marRight w:val="0"/>
      <w:marTop w:val="0"/>
      <w:marBottom w:val="0"/>
      <w:divBdr>
        <w:top w:val="none" w:sz="0" w:space="0" w:color="auto"/>
        <w:left w:val="none" w:sz="0" w:space="0" w:color="auto"/>
        <w:bottom w:val="none" w:sz="0" w:space="0" w:color="auto"/>
        <w:right w:val="none" w:sz="0" w:space="0" w:color="auto"/>
      </w:divBdr>
    </w:div>
    <w:div w:id="1395660689">
      <w:bodyDiv w:val="1"/>
      <w:marLeft w:val="0"/>
      <w:marRight w:val="0"/>
      <w:marTop w:val="0"/>
      <w:marBottom w:val="0"/>
      <w:divBdr>
        <w:top w:val="none" w:sz="0" w:space="0" w:color="auto"/>
        <w:left w:val="none" w:sz="0" w:space="0" w:color="auto"/>
        <w:bottom w:val="none" w:sz="0" w:space="0" w:color="auto"/>
        <w:right w:val="none" w:sz="0" w:space="0" w:color="auto"/>
      </w:divBdr>
    </w:div>
    <w:div w:id="1397434280">
      <w:bodyDiv w:val="1"/>
      <w:marLeft w:val="0"/>
      <w:marRight w:val="0"/>
      <w:marTop w:val="0"/>
      <w:marBottom w:val="0"/>
      <w:divBdr>
        <w:top w:val="none" w:sz="0" w:space="0" w:color="auto"/>
        <w:left w:val="none" w:sz="0" w:space="0" w:color="auto"/>
        <w:bottom w:val="none" w:sz="0" w:space="0" w:color="auto"/>
        <w:right w:val="none" w:sz="0" w:space="0" w:color="auto"/>
      </w:divBdr>
    </w:div>
    <w:div w:id="1441604368">
      <w:bodyDiv w:val="1"/>
      <w:marLeft w:val="0"/>
      <w:marRight w:val="0"/>
      <w:marTop w:val="0"/>
      <w:marBottom w:val="0"/>
      <w:divBdr>
        <w:top w:val="none" w:sz="0" w:space="0" w:color="auto"/>
        <w:left w:val="none" w:sz="0" w:space="0" w:color="auto"/>
        <w:bottom w:val="none" w:sz="0" w:space="0" w:color="auto"/>
        <w:right w:val="none" w:sz="0" w:space="0" w:color="auto"/>
      </w:divBdr>
    </w:div>
    <w:div w:id="1477721025">
      <w:bodyDiv w:val="1"/>
      <w:marLeft w:val="0"/>
      <w:marRight w:val="0"/>
      <w:marTop w:val="0"/>
      <w:marBottom w:val="0"/>
      <w:divBdr>
        <w:top w:val="none" w:sz="0" w:space="0" w:color="auto"/>
        <w:left w:val="none" w:sz="0" w:space="0" w:color="auto"/>
        <w:bottom w:val="none" w:sz="0" w:space="0" w:color="auto"/>
        <w:right w:val="none" w:sz="0" w:space="0" w:color="auto"/>
      </w:divBdr>
    </w:div>
    <w:div w:id="1502309568">
      <w:bodyDiv w:val="1"/>
      <w:marLeft w:val="0"/>
      <w:marRight w:val="0"/>
      <w:marTop w:val="0"/>
      <w:marBottom w:val="0"/>
      <w:divBdr>
        <w:top w:val="none" w:sz="0" w:space="0" w:color="auto"/>
        <w:left w:val="none" w:sz="0" w:space="0" w:color="auto"/>
        <w:bottom w:val="none" w:sz="0" w:space="0" w:color="auto"/>
        <w:right w:val="none" w:sz="0" w:space="0" w:color="auto"/>
      </w:divBdr>
    </w:div>
    <w:div w:id="1575311687">
      <w:bodyDiv w:val="1"/>
      <w:marLeft w:val="0"/>
      <w:marRight w:val="0"/>
      <w:marTop w:val="0"/>
      <w:marBottom w:val="0"/>
      <w:divBdr>
        <w:top w:val="none" w:sz="0" w:space="0" w:color="auto"/>
        <w:left w:val="none" w:sz="0" w:space="0" w:color="auto"/>
        <w:bottom w:val="none" w:sz="0" w:space="0" w:color="auto"/>
        <w:right w:val="none" w:sz="0" w:space="0" w:color="auto"/>
      </w:divBdr>
    </w:div>
    <w:div w:id="1580945277">
      <w:bodyDiv w:val="1"/>
      <w:marLeft w:val="0"/>
      <w:marRight w:val="0"/>
      <w:marTop w:val="0"/>
      <w:marBottom w:val="0"/>
      <w:divBdr>
        <w:top w:val="none" w:sz="0" w:space="0" w:color="auto"/>
        <w:left w:val="none" w:sz="0" w:space="0" w:color="auto"/>
        <w:bottom w:val="none" w:sz="0" w:space="0" w:color="auto"/>
        <w:right w:val="none" w:sz="0" w:space="0" w:color="auto"/>
      </w:divBdr>
    </w:div>
    <w:div w:id="1584412283">
      <w:bodyDiv w:val="1"/>
      <w:marLeft w:val="0"/>
      <w:marRight w:val="0"/>
      <w:marTop w:val="0"/>
      <w:marBottom w:val="0"/>
      <w:divBdr>
        <w:top w:val="none" w:sz="0" w:space="0" w:color="auto"/>
        <w:left w:val="none" w:sz="0" w:space="0" w:color="auto"/>
        <w:bottom w:val="none" w:sz="0" w:space="0" w:color="auto"/>
        <w:right w:val="none" w:sz="0" w:space="0" w:color="auto"/>
      </w:divBdr>
    </w:div>
    <w:div w:id="1587305863">
      <w:bodyDiv w:val="1"/>
      <w:marLeft w:val="0"/>
      <w:marRight w:val="0"/>
      <w:marTop w:val="0"/>
      <w:marBottom w:val="0"/>
      <w:divBdr>
        <w:top w:val="none" w:sz="0" w:space="0" w:color="auto"/>
        <w:left w:val="none" w:sz="0" w:space="0" w:color="auto"/>
        <w:bottom w:val="none" w:sz="0" w:space="0" w:color="auto"/>
        <w:right w:val="none" w:sz="0" w:space="0" w:color="auto"/>
      </w:divBdr>
    </w:div>
    <w:div w:id="1618440532">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29824093">
      <w:bodyDiv w:val="1"/>
      <w:marLeft w:val="0"/>
      <w:marRight w:val="0"/>
      <w:marTop w:val="0"/>
      <w:marBottom w:val="0"/>
      <w:divBdr>
        <w:top w:val="none" w:sz="0" w:space="0" w:color="auto"/>
        <w:left w:val="none" w:sz="0" w:space="0" w:color="auto"/>
        <w:bottom w:val="none" w:sz="0" w:space="0" w:color="auto"/>
        <w:right w:val="none" w:sz="0" w:space="0" w:color="auto"/>
      </w:divBdr>
    </w:div>
    <w:div w:id="1661501398">
      <w:bodyDiv w:val="1"/>
      <w:marLeft w:val="0"/>
      <w:marRight w:val="0"/>
      <w:marTop w:val="0"/>
      <w:marBottom w:val="0"/>
      <w:divBdr>
        <w:top w:val="none" w:sz="0" w:space="0" w:color="auto"/>
        <w:left w:val="none" w:sz="0" w:space="0" w:color="auto"/>
        <w:bottom w:val="none" w:sz="0" w:space="0" w:color="auto"/>
        <w:right w:val="none" w:sz="0" w:space="0" w:color="auto"/>
      </w:divBdr>
    </w:div>
    <w:div w:id="1662126149">
      <w:bodyDiv w:val="1"/>
      <w:marLeft w:val="0"/>
      <w:marRight w:val="0"/>
      <w:marTop w:val="0"/>
      <w:marBottom w:val="0"/>
      <w:divBdr>
        <w:top w:val="none" w:sz="0" w:space="0" w:color="auto"/>
        <w:left w:val="none" w:sz="0" w:space="0" w:color="auto"/>
        <w:bottom w:val="none" w:sz="0" w:space="0" w:color="auto"/>
        <w:right w:val="none" w:sz="0" w:space="0" w:color="auto"/>
      </w:divBdr>
    </w:div>
    <w:div w:id="1663701949">
      <w:bodyDiv w:val="1"/>
      <w:marLeft w:val="0"/>
      <w:marRight w:val="0"/>
      <w:marTop w:val="0"/>
      <w:marBottom w:val="0"/>
      <w:divBdr>
        <w:top w:val="none" w:sz="0" w:space="0" w:color="auto"/>
        <w:left w:val="none" w:sz="0" w:space="0" w:color="auto"/>
        <w:bottom w:val="none" w:sz="0" w:space="0" w:color="auto"/>
        <w:right w:val="none" w:sz="0" w:space="0" w:color="auto"/>
      </w:divBdr>
    </w:div>
    <w:div w:id="1689864971">
      <w:bodyDiv w:val="1"/>
      <w:marLeft w:val="0"/>
      <w:marRight w:val="0"/>
      <w:marTop w:val="0"/>
      <w:marBottom w:val="0"/>
      <w:divBdr>
        <w:top w:val="none" w:sz="0" w:space="0" w:color="auto"/>
        <w:left w:val="none" w:sz="0" w:space="0" w:color="auto"/>
        <w:bottom w:val="none" w:sz="0" w:space="0" w:color="auto"/>
        <w:right w:val="none" w:sz="0" w:space="0" w:color="auto"/>
      </w:divBdr>
    </w:div>
    <w:div w:id="1756710707">
      <w:bodyDiv w:val="1"/>
      <w:marLeft w:val="0"/>
      <w:marRight w:val="0"/>
      <w:marTop w:val="0"/>
      <w:marBottom w:val="0"/>
      <w:divBdr>
        <w:top w:val="none" w:sz="0" w:space="0" w:color="auto"/>
        <w:left w:val="none" w:sz="0" w:space="0" w:color="auto"/>
        <w:bottom w:val="none" w:sz="0" w:space="0" w:color="auto"/>
        <w:right w:val="none" w:sz="0" w:space="0" w:color="auto"/>
      </w:divBdr>
    </w:div>
    <w:div w:id="1762070508">
      <w:bodyDiv w:val="1"/>
      <w:marLeft w:val="0"/>
      <w:marRight w:val="0"/>
      <w:marTop w:val="0"/>
      <w:marBottom w:val="0"/>
      <w:divBdr>
        <w:top w:val="none" w:sz="0" w:space="0" w:color="auto"/>
        <w:left w:val="none" w:sz="0" w:space="0" w:color="auto"/>
        <w:bottom w:val="none" w:sz="0" w:space="0" w:color="auto"/>
        <w:right w:val="none" w:sz="0" w:space="0" w:color="auto"/>
      </w:divBdr>
    </w:div>
    <w:div w:id="1767189627">
      <w:bodyDiv w:val="1"/>
      <w:marLeft w:val="0"/>
      <w:marRight w:val="0"/>
      <w:marTop w:val="0"/>
      <w:marBottom w:val="0"/>
      <w:divBdr>
        <w:top w:val="none" w:sz="0" w:space="0" w:color="auto"/>
        <w:left w:val="none" w:sz="0" w:space="0" w:color="auto"/>
        <w:bottom w:val="none" w:sz="0" w:space="0" w:color="auto"/>
        <w:right w:val="none" w:sz="0" w:space="0" w:color="auto"/>
      </w:divBdr>
    </w:div>
    <w:div w:id="1768499865">
      <w:bodyDiv w:val="1"/>
      <w:marLeft w:val="0"/>
      <w:marRight w:val="0"/>
      <w:marTop w:val="0"/>
      <w:marBottom w:val="0"/>
      <w:divBdr>
        <w:top w:val="none" w:sz="0" w:space="0" w:color="auto"/>
        <w:left w:val="none" w:sz="0" w:space="0" w:color="auto"/>
        <w:bottom w:val="none" w:sz="0" w:space="0" w:color="auto"/>
        <w:right w:val="none" w:sz="0" w:space="0" w:color="auto"/>
      </w:divBdr>
    </w:div>
    <w:div w:id="1817213037">
      <w:bodyDiv w:val="1"/>
      <w:marLeft w:val="0"/>
      <w:marRight w:val="0"/>
      <w:marTop w:val="0"/>
      <w:marBottom w:val="0"/>
      <w:divBdr>
        <w:top w:val="none" w:sz="0" w:space="0" w:color="auto"/>
        <w:left w:val="none" w:sz="0" w:space="0" w:color="auto"/>
        <w:bottom w:val="none" w:sz="0" w:space="0" w:color="auto"/>
        <w:right w:val="none" w:sz="0" w:space="0" w:color="auto"/>
      </w:divBdr>
    </w:div>
    <w:div w:id="1829251645">
      <w:bodyDiv w:val="1"/>
      <w:marLeft w:val="0"/>
      <w:marRight w:val="0"/>
      <w:marTop w:val="0"/>
      <w:marBottom w:val="0"/>
      <w:divBdr>
        <w:top w:val="none" w:sz="0" w:space="0" w:color="auto"/>
        <w:left w:val="none" w:sz="0" w:space="0" w:color="auto"/>
        <w:bottom w:val="none" w:sz="0" w:space="0" w:color="auto"/>
        <w:right w:val="none" w:sz="0" w:space="0" w:color="auto"/>
      </w:divBdr>
    </w:div>
    <w:div w:id="1867667896">
      <w:bodyDiv w:val="1"/>
      <w:marLeft w:val="0"/>
      <w:marRight w:val="0"/>
      <w:marTop w:val="0"/>
      <w:marBottom w:val="0"/>
      <w:divBdr>
        <w:top w:val="none" w:sz="0" w:space="0" w:color="auto"/>
        <w:left w:val="none" w:sz="0" w:space="0" w:color="auto"/>
        <w:bottom w:val="none" w:sz="0" w:space="0" w:color="auto"/>
        <w:right w:val="none" w:sz="0" w:space="0" w:color="auto"/>
      </w:divBdr>
    </w:div>
    <w:div w:id="1870291086">
      <w:bodyDiv w:val="1"/>
      <w:marLeft w:val="0"/>
      <w:marRight w:val="0"/>
      <w:marTop w:val="0"/>
      <w:marBottom w:val="0"/>
      <w:divBdr>
        <w:top w:val="none" w:sz="0" w:space="0" w:color="auto"/>
        <w:left w:val="none" w:sz="0" w:space="0" w:color="auto"/>
        <w:bottom w:val="none" w:sz="0" w:space="0" w:color="auto"/>
        <w:right w:val="none" w:sz="0" w:space="0" w:color="auto"/>
      </w:divBdr>
    </w:div>
    <w:div w:id="1874419203">
      <w:bodyDiv w:val="1"/>
      <w:marLeft w:val="0"/>
      <w:marRight w:val="0"/>
      <w:marTop w:val="0"/>
      <w:marBottom w:val="0"/>
      <w:divBdr>
        <w:top w:val="none" w:sz="0" w:space="0" w:color="auto"/>
        <w:left w:val="none" w:sz="0" w:space="0" w:color="auto"/>
        <w:bottom w:val="none" w:sz="0" w:space="0" w:color="auto"/>
        <w:right w:val="none" w:sz="0" w:space="0" w:color="auto"/>
      </w:divBdr>
    </w:div>
    <w:div w:id="1905875567">
      <w:bodyDiv w:val="1"/>
      <w:marLeft w:val="0"/>
      <w:marRight w:val="0"/>
      <w:marTop w:val="0"/>
      <w:marBottom w:val="0"/>
      <w:divBdr>
        <w:top w:val="none" w:sz="0" w:space="0" w:color="auto"/>
        <w:left w:val="none" w:sz="0" w:space="0" w:color="auto"/>
        <w:bottom w:val="none" w:sz="0" w:space="0" w:color="auto"/>
        <w:right w:val="none" w:sz="0" w:space="0" w:color="auto"/>
      </w:divBdr>
    </w:div>
    <w:div w:id="1913999192">
      <w:bodyDiv w:val="1"/>
      <w:marLeft w:val="0"/>
      <w:marRight w:val="0"/>
      <w:marTop w:val="0"/>
      <w:marBottom w:val="0"/>
      <w:divBdr>
        <w:top w:val="none" w:sz="0" w:space="0" w:color="auto"/>
        <w:left w:val="none" w:sz="0" w:space="0" w:color="auto"/>
        <w:bottom w:val="none" w:sz="0" w:space="0" w:color="auto"/>
        <w:right w:val="none" w:sz="0" w:space="0" w:color="auto"/>
      </w:divBdr>
    </w:div>
    <w:div w:id="1926960859">
      <w:bodyDiv w:val="1"/>
      <w:marLeft w:val="0"/>
      <w:marRight w:val="0"/>
      <w:marTop w:val="0"/>
      <w:marBottom w:val="0"/>
      <w:divBdr>
        <w:top w:val="none" w:sz="0" w:space="0" w:color="auto"/>
        <w:left w:val="none" w:sz="0" w:space="0" w:color="auto"/>
        <w:bottom w:val="none" w:sz="0" w:space="0" w:color="auto"/>
        <w:right w:val="none" w:sz="0" w:space="0" w:color="auto"/>
      </w:divBdr>
    </w:div>
    <w:div w:id="1933779026">
      <w:bodyDiv w:val="1"/>
      <w:marLeft w:val="0"/>
      <w:marRight w:val="0"/>
      <w:marTop w:val="0"/>
      <w:marBottom w:val="0"/>
      <w:divBdr>
        <w:top w:val="none" w:sz="0" w:space="0" w:color="auto"/>
        <w:left w:val="none" w:sz="0" w:space="0" w:color="auto"/>
        <w:bottom w:val="none" w:sz="0" w:space="0" w:color="auto"/>
        <w:right w:val="none" w:sz="0" w:space="0" w:color="auto"/>
      </w:divBdr>
    </w:div>
    <w:div w:id="1984770591">
      <w:bodyDiv w:val="1"/>
      <w:marLeft w:val="0"/>
      <w:marRight w:val="0"/>
      <w:marTop w:val="0"/>
      <w:marBottom w:val="0"/>
      <w:divBdr>
        <w:top w:val="none" w:sz="0" w:space="0" w:color="auto"/>
        <w:left w:val="none" w:sz="0" w:space="0" w:color="auto"/>
        <w:bottom w:val="none" w:sz="0" w:space="0" w:color="auto"/>
        <w:right w:val="none" w:sz="0" w:space="0" w:color="auto"/>
      </w:divBdr>
    </w:div>
    <w:div w:id="2058123041">
      <w:bodyDiv w:val="1"/>
      <w:marLeft w:val="0"/>
      <w:marRight w:val="0"/>
      <w:marTop w:val="0"/>
      <w:marBottom w:val="0"/>
      <w:divBdr>
        <w:top w:val="none" w:sz="0" w:space="0" w:color="auto"/>
        <w:left w:val="none" w:sz="0" w:space="0" w:color="auto"/>
        <w:bottom w:val="none" w:sz="0" w:space="0" w:color="auto"/>
        <w:right w:val="none" w:sz="0" w:space="0" w:color="auto"/>
      </w:divBdr>
    </w:div>
    <w:div w:id="2064329356">
      <w:bodyDiv w:val="1"/>
      <w:marLeft w:val="0"/>
      <w:marRight w:val="0"/>
      <w:marTop w:val="0"/>
      <w:marBottom w:val="0"/>
      <w:divBdr>
        <w:top w:val="none" w:sz="0" w:space="0" w:color="auto"/>
        <w:left w:val="none" w:sz="0" w:space="0" w:color="auto"/>
        <w:bottom w:val="none" w:sz="0" w:space="0" w:color="auto"/>
        <w:right w:val="none" w:sz="0" w:space="0" w:color="auto"/>
      </w:divBdr>
    </w:div>
    <w:div w:id="2103794413">
      <w:bodyDiv w:val="1"/>
      <w:marLeft w:val="0"/>
      <w:marRight w:val="0"/>
      <w:marTop w:val="0"/>
      <w:marBottom w:val="0"/>
      <w:divBdr>
        <w:top w:val="none" w:sz="0" w:space="0" w:color="auto"/>
        <w:left w:val="none" w:sz="0" w:space="0" w:color="auto"/>
        <w:bottom w:val="none" w:sz="0" w:space="0" w:color="auto"/>
        <w:right w:val="none" w:sz="0" w:space="0" w:color="auto"/>
      </w:divBdr>
    </w:div>
    <w:div w:id="214468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gob.mx/salud/prensa/317-nuevo-compendio-nacional-de-insumos-para-la-salu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Worksheet.xls"/><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46EDB-4822-4D4E-B356-D86CDA7C7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3453</Words>
  <Characters>18997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FINANCIEROS</cp:lastModifiedBy>
  <cp:revision>3</cp:revision>
  <cp:lastPrinted>2021-07-22T19:20:00Z</cp:lastPrinted>
  <dcterms:created xsi:type="dcterms:W3CDTF">2021-07-22T19:52:00Z</dcterms:created>
  <dcterms:modified xsi:type="dcterms:W3CDTF">2021-07-22T19:53:00Z</dcterms:modified>
</cp:coreProperties>
</file>