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F8C6" w14:textId="77777777" w:rsidR="00AC7F8A" w:rsidRPr="00630DB0" w:rsidRDefault="00AC7F8A" w:rsidP="00AC7F8A">
      <w:pPr>
        <w:pStyle w:val="Texto"/>
        <w:spacing w:after="0" w:line="240" w:lineRule="exact"/>
        <w:jc w:val="center"/>
        <w:rPr>
          <w:b/>
          <w:szCs w:val="18"/>
        </w:rPr>
      </w:pPr>
      <w:bookmarkStart w:id="0" w:name="_GoBack"/>
      <w:bookmarkEnd w:id="0"/>
      <w:r w:rsidRPr="00630DB0">
        <w:rPr>
          <w:b/>
          <w:szCs w:val="18"/>
        </w:rPr>
        <w:t>NOTAS A LOS ESTADOS FINANCIEROS</w:t>
      </w:r>
    </w:p>
    <w:p w14:paraId="620EF8C7" w14:textId="77777777" w:rsidR="00AC7F8A" w:rsidRDefault="00AC7F8A" w:rsidP="00AC7F8A">
      <w:pPr>
        <w:pStyle w:val="Texto"/>
        <w:spacing w:after="0" w:line="240" w:lineRule="exact"/>
        <w:jc w:val="center"/>
        <w:rPr>
          <w:b/>
          <w:szCs w:val="18"/>
        </w:rPr>
      </w:pPr>
    </w:p>
    <w:p w14:paraId="620EF8C8" w14:textId="77777777" w:rsidR="00AC7F8A" w:rsidRPr="00630DB0" w:rsidRDefault="00AC7F8A" w:rsidP="00AC7F8A">
      <w:pPr>
        <w:pStyle w:val="Texto"/>
        <w:spacing w:after="0" w:line="240" w:lineRule="exact"/>
        <w:jc w:val="center"/>
        <w:rPr>
          <w:szCs w:val="18"/>
        </w:rPr>
      </w:pPr>
      <w:r w:rsidRPr="00630DB0">
        <w:rPr>
          <w:b/>
          <w:szCs w:val="18"/>
        </w:rPr>
        <w:t>a) NOTAS DE DESGLOSE</w:t>
      </w:r>
    </w:p>
    <w:p w14:paraId="620EF8C9" w14:textId="77777777" w:rsidR="00AC7F8A" w:rsidRPr="00630DB0" w:rsidRDefault="00AC7F8A" w:rsidP="00AC7F8A">
      <w:pPr>
        <w:pStyle w:val="Texto"/>
        <w:spacing w:after="0" w:line="240" w:lineRule="exact"/>
        <w:rPr>
          <w:szCs w:val="18"/>
          <w:lang w:val="es-MX"/>
        </w:rPr>
      </w:pPr>
    </w:p>
    <w:p w14:paraId="620EF8CA" w14:textId="77777777" w:rsidR="00AC7F8A" w:rsidRPr="00630DB0" w:rsidRDefault="00AC7F8A" w:rsidP="002E5ED2">
      <w:pPr>
        <w:pStyle w:val="INCISO"/>
        <w:spacing w:after="0" w:line="240" w:lineRule="exact"/>
        <w:ind w:left="648"/>
        <w:jc w:val="center"/>
        <w:rPr>
          <w:b/>
          <w:smallCaps/>
        </w:rPr>
      </w:pPr>
      <w:r w:rsidRPr="00630DB0">
        <w:rPr>
          <w:b/>
          <w:smallCaps/>
        </w:rPr>
        <w:t>I)</w:t>
      </w:r>
      <w:r w:rsidRPr="00630DB0">
        <w:rPr>
          <w:b/>
          <w:smallCaps/>
        </w:rPr>
        <w:tab/>
        <w:t>Notas al Estado de Situación Financiera</w:t>
      </w:r>
    </w:p>
    <w:p w14:paraId="620EF8CB" w14:textId="77777777" w:rsidR="00AC7F8A" w:rsidRPr="00630DB0" w:rsidRDefault="00AC7F8A" w:rsidP="00AC7F8A">
      <w:pPr>
        <w:pStyle w:val="Texto"/>
        <w:spacing w:after="0" w:line="240" w:lineRule="exact"/>
        <w:rPr>
          <w:b/>
          <w:szCs w:val="18"/>
          <w:lang w:val="es-MX"/>
        </w:rPr>
      </w:pPr>
    </w:p>
    <w:p w14:paraId="620EF8CC" w14:textId="77777777" w:rsidR="00AC7F8A" w:rsidRPr="00630DB0" w:rsidRDefault="00AC7F8A" w:rsidP="00AC7F8A">
      <w:pPr>
        <w:pStyle w:val="Texto"/>
        <w:spacing w:after="0" w:line="240" w:lineRule="exact"/>
        <w:rPr>
          <w:b/>
          <w:szCs w:val="18"/>
          <w:lang w:val="es-MX"/>
        </w:rPr>
      </w:pPr>
      <w:r w:rsidRPr="00630DB0">
        <w:rPr>
          <w:b/>
          <w:szCs w:val="18"/>
          <w:lang w:val="es-MX"/>
        </w:rPr>
        <w:t>Activo</w:t>
      </w:r>
    </w:p>
    <w:p w14:paraId="620EF8CD" w14:textId="77777777" w:rsidR="00AC7F8A" w:rsidRDefault="00AC7F8A" w:rsidP="00AC7F8A">
      <w:pPr>
        <w:pStyle w:val="Texto"/>
        <w:spacing w:after="0" w:line="240" w:lineRule="exact"/>
        <w:rPr>
          <w:b/>
          <w:szCs w:val="18"/>
          <w:lang w:val="es-MX"/>
        </w:rPr>
      </w:pPr>
    </w:p>
    <w:p w14:paraId="620EF8CE" w14:textId="77777777" w:rsidR="002644BD" w:rsidRPr="00630DB0" w:rsidRDefault="002644BD" w:rsidP="00AC7F8A">
      <w:pPr>
        <w:pStyle w:val="Texto"/>
        <w:spacing w:after="0" w:line="240" w:lineRule="exact"/>
        <w:rPr>
          <w:b/>
          <w:szCs w:val="18"/>
          <w:lang w:val="es-MX"/>
        </w:rPr>
      </w:pPr>
    </w:p>
    <w:p w14:paraId="620EF8CF" w14:textId="77777777" w:rsidR="00AC7F8A" w:rsidRPr="00630DB0" w:rsidRDefault="00AC7F8A" w:rsidP="00AC7F8A">
      <w:pPr>
        <w:pStyle w:val="Texto"/>
        <w:spacing w:after="0" w:line="240" w:lineRule="exact"/>
        <w:ind w:firstLine="706"/>
        <w:rPr>
          <w:b/>
          <w:szCs w:val="18"/>
          <w:lang w:val="es-MX"/>
        </w:rPr>
      </w:pPr>
      <w:r w:rsidRPr="00630DB0">
        <w:rPr>
          <w:b/>
          <w:szCs w:val="18"/>
          <w:lang w:val="es-MX"/>
        </w:rPr>
        <w:t>Efectivo y Equivalentes</w:t>
      </w:r>
    </w:p>
    <w:p w14:paraId="620EF8D0" w14:textId="5A3ECDE1" w:rsidR="00AC7F8A" w:rsidRPr="00BC5F50" w:rsidRDefault="00AC7F8A" w:rsidP="00BC5F50">
      <w:pPr>
        <w:ind w:left="709"/>
        <w:jc w:val="both"/>
        <w:rPr>
          <w:rFonts w:ascii="Arial" w:hAnsi="Arial" w:cs="Arial"/>
          <w:sz w:val="18"/>
          <w:szCs w:val="18"/>
        </w:rPr>
      </w:pPr>
      <w:r w:rsidRPr="00BC5F50">
        <w:rPr>
          <w:rFonts w:ascii="Arial" w:hAnsi="Arial" w:cs="Arial"/>
          <w:sz w:val="18"/>
          <w:szCs w:val="18"/>
        </w:rPr>
        <w:t xml:space="preserve">El saldo de </w:t>
      </w:r>
      <w:r w:rsidR="00AF7427" w:rsidRPr="00BC5F50">
        <w:rPr>
          <w:rFonts w:ascii="Arial" w:hAnsi="Arial" w:cs="Arial"/>
          <w:sz w:val="18"/>
          <w:szCs w:val="18"/>
        </w:rPr>
        <w:t>este</w:t>
      </w:r>
      <w:r w:rsidRPr="00BC5F50">
        <w:rPr>
          <w:rFonts w:ascii="Arial" w:hAnsi="Arial" w:cs="Arial"/>
          <w:sz w:val="18"/>
          <w:szCs w:val="18"/>
        </w:rPr>
        <w:t xml:space="preserve"> rubro representa el valor total de dinero a nombre de Salud de Tlaxcala depositado en instituciones bancarias, el cual asciende a $ </w:t>
      </w:r>
      <w:r w:rsidR="0006654C">
        <w:rPr>
          <w:rFonts w:ascii="Arial" w:hAnsi="Arial" w:cs="Arial"/>
          <w:sz w:val="18"/>
          <w:szCs w:val="18"/>
        </w:rPr>
        <w:t>836</w:t>
      </w:r>
      <w:r w:rsidR="001A5B66">
        <w:rPr>
          <w:rFonts w:ascii="Arial" w:hAnsi="Arial" w:cs="Arial"/>
          <w:sz w:val="18"/>
          <w:szCs w:val="18"/>
        </w:rPr>
        <w:t>,</w:t>
      </w:r>
      <w:r w:rsidR="0006654C">
        <w:rPr>
          <w:rFonts w:ascii="Arial" w:hAnsi="Arial" w:cs="Arial"/>
          <w:sz w:val="18"/>
          <w:szCs w:val="18"/>
        </w:rPr>
        <w:t>054</w:t>
      </w:r>
      <w:r w:rsidR="001A5B66">
        <w:rPr>
          <w:rFonts w:ascii="Arial" w:hAnsi="Arial" w:cs="Arial"/>
          <w:sz w:val="18"/>
          <w:szCs w:val="18"/>
        </w:rPr>
        <w:t>,</w:t>
      </w:r>
      <w:r w:rsidR="0006654C">
        <w:rPr>
          <w:rFonts w:ascii="Arial" w:hAnsi="Arial" w:cs="Arial"/>
          <w:sz w:val="18"/>
          <w:szCs w:val="18"/>
        </w:rPr>
        <w:t>28</w:t>
      </w:r>
      <w:r w:rsidR="001A5B66" w:rsidRPr="001A5B66">
        <w:rPr>
          <w:rFonts w:ascii="Arial" w:hAnsi="Arial" w:cs="Arial"/>
          <w:sz w:val="18"/>
          <w:szCs w:val="18"/>
        </w:rPr>
        <w:t>.</w:t>
      </w:r>
      <w:r w:rsidR="0006654C">
        <w:rPr>
          <w:rFonts w:ascii="Arial" w:hAnsi="Arial" w:cs="Arial"/>
          <w:sz w:val="18"/>
          <w:szCs w:val="18"/>
        </w:rPr>
        <w:t>25</w:t>
      </w:r>
      <w:r w:rsidRPr="00BC5F50">
        <w:rPr>
          <w:rFonts w:ascii="Arial" w:hAnsi="Arial" w:cs="Arial"/>
          <w:sz w:val="18"/>
          <w:szCs w:val="18"/>
        </w:rPr>
        <w:t xml:space="preserve">, y que está destinado para el </w:t>
      </w:r>
      <w:r w:rsidR="0072046B">
        <w:rPr>
          <w:rFonts w:ascii="Arial" w:hAnsi="Arial" w:cs="Arial"/>
          <w:sz w:val="18"/>
          <w:szCs w:val="18"/>
        </w:rPr>
        <w:t xml:space="preserve">gasto de operación y objetivo </w:t>
      </w:r>
      <w:r w:rsidRPr="00BC5F50">
        <w:rPr>
          <w:rFonts w:ascii="Arial" w:hAnsi="Arial" w:cs="Arial"/>
          <w:sz w:val="18"/>
          <w:szCs w:val="18"/>
        </w:rPr>
        <w:t xml:space="preserve">de </w:t>
      </w:r>
      <w:r w:rsidR="00AF7427" w:rsidRPr="00BC5F50">
        <w:rPr>
          <w:rFonts w:ascii="Arial" w:hAnsi="Arial" w:cs="Arial"/>
          <w:sz w:val="18"/>
          <w:szCs w:val="18"/>
        </w:rPr>
        <w:t>este</w:t>
      </w:r>
      <w:r w:rsidRPr="00BC5F50">
        <w:rPr>
          <w:rFonts w:ascii="Arial" w:hAnsi="Arial" w:cs="Arial"/>
          <w:sz w:val="18"/>
          <w:szCs w:val="18"/>
        </w:rPr>
        <w:t xml:space="preserve"> Organismo Público, tales como, sueldos y prestaciones, adquisición de bienes y servicios, el entero de impuestos y retenciones realizadas a los trabajadores</w:t>
      </w:r>
      <w:r w:rsidR="003A1877">
        <w:rPr>
          <w:rFonts w:ascii="Arial" w:hAnsi="Arial" w:cs="Arial"/>
          <w:sz w:val="18"/>
          <w:szCs w:val="18"/>
        </w:rPr>
        <w:t xml:space="preserve">, </w:t>
      </w:r>
      <w:proofErr w:type="spellStart"/>
      <w:r w:rsidR="003A1877">
        <w:rPr>
          <w:rFonts w:ascii="Arial" w:hAnsi="Arial" w:cs="Arial"/>
          <w:sz w:val="18"/>
          <w:szCs w:val="18"/>
        </w:rPr>
        <w:t>asi</w:t>
      </w:r>
      <w:proofErr w:type="spellEnd"/>
      <w:r w:rsidR="003A1877">
        <w:rPr>
          <w:rFonts w:ascii="Arial" w:hAnsi="Arial" w:cs="Arial"/>
          <w:sz w:val="18"/>
          <w:szCs w:val="18"/>
        </w:rPr>
        <w:t xml:space="preserve"> como los</w:t>
      </w:r>
      <w:r w:rsidRPr="00BC5F50">
        <w:rPr>
          <w:rFonts w:ascii="Arial" w:hAnsi="Arial" w:cs="Arial"/>
          <w:sz w:val="18"/>
          <w:szCs w:val="18"/>
        </w:rPr>
        <w:t xml:space="preserve"> compromisos adquiridos con terceros. Estos recursos son obtenidos principalmente por aportaciones federales, recursos federales convenidos y participaciones</w:t>
      </w:r>
      <w:r w:rsidR="000F7C75" w:rsidRPr="00BC5F50">
        <w:rPr>
          <w:rFonts w:ascii="Arial" w:hAnsi="Arial" w:cs="Arial"/>
          <w:sz w:val="18"/>
          <w:szCs w:val="18"/>
        </w:rPr>
        <w:t>, las cuentas bancarias son productivas y no se tienen cuentas de inversión.</w:t>
      </w:r>
    </w:p>
    <w:p w14:paraId="620EF8D1" w14:textId="77777777" w:rsidR="00AC7F8A" w:rsidRDefault="00AC7F8A" w:rsidP="00AC7F8A">
      <w:pPr>
        <w:pStyle w:val="ROMANOS"/>
        <w:spacing w:after="0" w:line="240" w:lineRule="exact"/>
        <w:rPr>
          <w:lang w:val="es-MX"/>
        </w:rPr>
      </w:pPr>
    </w:p>
    <w:p w14:paraId="620EF8D2" w14:textId="77777777" w:rsidR="002644BD" w:rsidRPr="00630DB0" w:rsidRDefault="002644BD" w:rsidP="00AC7F8A">
      <w:pPr>
        <w:pStyle w:val="ROMANOS"/>
        <w:spacing w:after="0" w:line="240" w:lineRule="exact"/>
        <w:rPr>
          <w:lang w:val="es-MX"/>
        </w:rPr>
      </w:pPr>
    </w:p>
    <w:p w14:paraId="620EF8D3" w14:textId="77777777" w:rsidR="00AC7F8A" w:rsidRPr="00975301" w:rsidRDefault="00AC7F8A" w:rsidP="00AC7F8A">
      <w:pPr>
        <w:pStyle w:val="ROMANOS"/>
        <w:spacing w:after="0" w:line="240" w:lineRule="exact"/>
        <w:rPr>
          <w:b/>
          <w:lang w:val="es-MX"/>
        </w:rPr>
      </w:pPr>
      <w:r w:rsidRPr="00630DB0">
        <w:rPr>
          <w:b/>
          <w:lang w:val="es-MX"/>
        </w:rPr>
        <w:tab/>
      </w:r>
      <w:r w:rsidRPr="00975301">
        <w:rPr>
          <w:b/>
          <w:lang w:val="es-MX"/>
        </w:rPr>
        <w:t>Derechos a recibir Efectivo y Equivalentes y Bienes o Servicios a Recibir</w:t>
      </w:r>
    </w:p>
    <w:p w14:paraId="620EF8D5" w14:textId="2BF81F9F" w:rsidR="00AC7F8A" w:rsidRDefault="00AC7F8A" w:rsidP="00BC5F50">
      <w:pPr>
        <w:autoSpaceDE w:val="0"/>
        <w:autoSpaceDN w:val="0"/>
        <w:adjustRightInd w:val="0"/>
        <w:spacing w:after="0" w:line="240" w:lineRule="auto"/>
        <w:ind w:firstLine="708"/>
      </w:pPr>
      <w:r w:rsidRPr="00975301">
        <w:rPr>
          <w:rFonts w:ascii="ArialMT" w:hAnsi="ArialMT" w:cs="ArialMT"/>
          <w:sz w:val="18"/>
          <w:szCs w:val="18"/>
          <w:lang w:val="es-ES"/>
        </w:rPr>
        <w:t xml:space="preserve">Su saldo representa un derecho de cobro en favor de </w:t>
      </w:r>
      <w:r w:rsidR="00AF7427" w:rsidRPr="00975301">
        <w:rPr>
          <w:rFonts w:ascii="ArialMT" w:hAnsi="ArialMT" w:cs="ArialMT"/>
          <w:sz w:val="18"/>
          <w:szCs w:val="18"/>
          <w:lang w:val="es-ES"/>
        </w:rPr>
        <w:t>este</w:t>
      </w:r>
      <w:r w:rsidRPr="00975301">
        <w:rPr>
          <w:rFonts w:ascii="ArialMT" w:hAnsi="ArialMT" w:cs="ArialMT"/>
          <w:sz w:val="18"/>
          <w:szCs w:val="18"/>
          <w:lang w:val="es-ES"/>
        </w:rPr>
        <w:t xml:space="preserve"> Organismo, </w:t>
      </w:r>
      <w:r w:rsidR="00BC5F50">
        <w:rPr>
          <w:rFonts w:ascii="ArialMT" w:hAnsi="ArialMT" w:cs="ArialMT"/>
          <w:sz w:val="18"/>
          <w:szCs w:val="18"/>
          <w:lang w:val="es-ES"/>
        </w:rPr>
        <w:t>y</w:t>
      </w:r>
      <w:r w:rsidRPr="00975301">
        <w:t xml:space="preserve"> se integra de la siguiente manera:</w:t>
      </w:r>
    </w:p>
    <w:p w14:paraId="528FA558" w14:textId="77777777" w:rsidR="000F7C75" w:rsidRDefault="000F7C75" w:rsidP="00AC7F8A">
      <w:pPr>
        <w:pStyle w:val="ROMANOS"/>
        <w:spacing w:after="0" w:line="240" w:lineRule="exact"/>
        <w:rPr>
          <w:lang w:val="es-MX"/>
        </w:rPr>
      </w:pPr>
      <w:r>
        <w:rPr>
          <w:lang w:val="es-MX"/>
        </w:rPr>
        <w:tab/>
      </w:r>
    </w:p>
    <w:tbl>
      <w:tblPr>
        <w:tblStyle w:val="Tablaconcuadrcula"/>
        <w:tblW w:w="0" w:type="auto"/>
        <w:jc w:val="center"/>
        <w:tblLook w:val="04A0" w:firstRow="1" w:lastRow="0" w:firstColumn="1" w:lastColumn="0" w:noHBand="0" w:noVBand="1"/>
      </w:tblPr>
      <w:tblGrid>
        <w:gridCol w:w="5229"/>
        <w:gridCol w:w="1984"/>
      </w:tblGrid>
      <w:tr w:rsidR="00BC5F50" w:rsidRPr="00BC5F50" w14:paraId="1F1552A0" w14:textId="77777777" w:rsidTr="00AF7BC4">
        <w:trPr>
          <w:jc w:val="center"/>
        </w:trPr>
        <w:tc>
          <w:tcPr>
            <w:tcW w:w="5229" w:type="dxa"/>
          </w:tcPr>
          <w:p w14:paraId="2C6AFDDE" w14:textId="18EDE3AD" w:rsidR="00BC5F50" w:rsidRPr="00BC5F50" w:rsidRDefault="00BC5F50" w:rsidP="00AC7F8A">
            <w:pPr>
              <w:pStyle w:val="ROMANOS"/>
              <w:spacing w:after="0" w:line="240" w:lineRule="exact"/>
              <w:ind w:left="0" w:firstLine="0"/>
              <w:rPr>
                <w:lang w:val="es-MX"/>
              </w:rPr>
            </w:pPr>
            <w:r w:rsidRPr="00BC5F50">
              <w:rPr>
                <w:lang w:val="es-MX"/>
              </w:rPr>
              <w:t>Descripción</w:t>
            </w:r>
          </w:p>
        </w:tc>
        <w:tc>
          <w:tcPr>
            <w:tcW w:w="1984" w:type="dxa"/>
            <w:tcBorders>
              <w:bottom w:val="single" w:sz="4" w:space="0" w:color="auto"/>
            </w:tcBorders>
          </w:tcPr>
          <w:p w14:paraId="3B289628" w14:textId="53A697CB" w:rsidR="00BC5F50" w:rsidRPr="00BC5F50" w:rsidRDefault="005C0FD1" w:rsidP="00BD71CE">
            <w:pPr>
              <w:pStyle w:val="ROMANOS"/>
              <w:spacing w:after="0" w:line="240" w:lineRule="exact"/>
              <w:ind w:left="0" w:firstLine="0"/>
              <w:jc w:val="center"/>
              <w:rPr>
                <w:lang w:val="es-MX"/>
              </w:rPr>
            </w:pPr>
            <w:r>
              <w:rPr>
                <w:lang w:val="es-MX"/>
              </w:rPr>
              <w:t>Importe</w:t>
            </w:r>
          </w:p>
        </w:tc>
      </w:tr>
      <w:tr w:rsidR="003C3F18" w:rsidRPr="00BC5F50" w14:paraId="39C7CE1F" w14:textId="77777777" w:rsidTr="00AF7BC4">
        <w:trPr>
          <w:jc w:val="center"/>
        </w:trPr>
        <w:tc>
          <w:tcPr>
            <w:tcW w:w="5229" w:type="dxa"/>
            <w:vAlign w:val="bottom"/>
          </w:tcPr>
          <w:p w14:paraId="100F92A7" w14:textId="5B10D698" w:rsidR="003C3F18" w:rsidRPr="00BC5F50" w:rsidRDefault="003C3F18" w:rsidP="003C3F18">
            <w:pPr>
              <w:pStyle w:val="ROMANOS"/>
              <w:spacing w:after="0" w:line="240" w:lineRule="exact"/>
              <w:ind w:left="0" w:firstLine="0"/>
              <w:rPr>
                <w:lang w:val="es-MX"/>
              </w:rPr>
            </w:pPr>
            <w:r w:rsidRPr="00BC5F50">
              <w:rPr>
                <w:color w:val="000000"/>
              </w:rPr>
              <w:t>Cuentas por cobrar a corto plazo</w:t>
            </w:r>
          </w:p>
        </w:tc>
        <w:tc>
          <w:tcPr>
            <w:tcW w:w="1984" w:type="dxa"/>
            <w:tcBorders>
              <w:top w:val="single" w:sz="4" w:space="0" w:color="auto"/>
              <w:left w:val="nil"/>
              <w:bottom w:val="single" w:sz="4" w:space="0" w:color="auto"/>
              <w:right w:val="single" w:sz="4" w:space="0" w:color="auto"/>
            </w:tcBorders>
            <w:shd w:val="clear" w:color="auto" w:fill="auto"/>
            <w:vAlign w:val="bottom"/>
          </w:tcPr>
          <w:p w14:paraId="14631FCE" w14:textId="5171A25B" w:rsidR="003C3F18" w:rsidRPr="003C3F18" w:rsidRDefault="003C3F18" w:rsidP="003C3F18">
            <w:pPr>
              <w:pStyle w:val="ROMANOS"/>
              <w:spacing w:after="0" w:line="240" w:lineRule="exact"/>
              <w:ind w:left="0" w:firstLine="0"/>
              <w:jc w:val="right"/>
              <w:rPr>
                <w:noProof/>
                <w:color w:val="000000"/>
              </w:rPr>
            </w:pPr>
            <w:r w:rsidRPr="003C3F18">
              <w:rPr>
                <w:noProof/>
                <w:color w:val="000000"/>
              </w:rPr>
              <w:t>7,677,337.54</w:t>
            </w:r>
          </w:p>
        </w:tc>
      </w:tr>
      <w:tr w:rsidR="003C3F18" w:rsidRPr="00BC5F50" w14:paraId="1FC4B1D6" w14:textId="77777777" w:rsidTr="00AF7BC4">
        <w:trPr>
          <w:jc w:val="center"/>
        </w:trPr>
        <w:tc>
          <w:tcPr>
            <w:tcW w:w="5229" w:type="dxa"/>
            <w:vAlign w:val="bottom"/>
          </w:tcPr>
          <w:p w14:paraId="2FF43B3A" w14:textId="5BFC7303" w:rsidR="003C3F18" w:rsidRPr="00BC5F50" w:rsidRDefault="003C3F18" w:rsidP="003C3F18">
            <w:pPr>
              <w:pStyle w:val="ROMANOS"/>
              <w:spacing w:after="0" w:line="240" w:lineRule="exact"/>
              <w:ind w:left="0" w:firstLine="0"/>
              <w:rPr>
                <w:lang w:val="es-MX"/>
              </w:rPr>
            </w:pPr>
            <w:r w:rsidRPr="00BC5F50">
              <w:rPr>
                <w:color w:val="000000"/>
              </w:rPr>
              <w:t>Deudores diversos por cobrar a corto plazo</w:t>
            </w:r>
          </w:p>
        </w:tc>
        <w:tc>
          <w:tcPr>
            <w:tcW w:w="1984" w:type="dxa"/>
            <w:tcBorders>
              <w:top w:val="single" w:sz="4" w:space="0" w:color="auto"/>
              <w:left w:val="nil"/>
              <w:bottom w:val="single" w:sz="4" w:space="0" w:color="auto"/>
              <w:right w:val="single" w:sz="4" w:space="0" w:color="auto"/>
            </w:tcBorders>
            <w:shd w:val="clear" w:color="auto" w:fill="auto"/>
            <w:vAlign w:val="bottom"/>
          </w:tcPr>
          <w:p w14:paraId="4790F99C" w14:textId="16986C46" w:rsidR="003C3F18" w:rsidRPr="003C3F18" w:rsidRDefault="003C3F18" w:rsidP="003C3F18">
            <w:pPr>
              <w:pStyle w:val="ROMANOS"/>
              <w:spacing w:after="0" w:line="240" w:lineRule="exact"/>
              <w:ind w:left="0" w:firstLine="0"/>
              <w:jc w:val="right"/>
              <w:rPr>
                <w:noProof/>
                <w:color w:val="000000"/>
              </w:rPr>
            </w:pPr>
            <w:r w:rsidRPr="003C3F18">
              <w:rPr>
                <w:noProof/>
                <w:color w:val="000000"/>
              </w:rPr>
              <w:t>3,293,386.11</w:t>
            </w:r>
          </w:p>
        </w:tc>
      </w:tr>
      <w:tr w:rsidR="003C3F18" w:rsidRPr="00BC5F50" w14:paraId="2AD8D5DA" w14:textId="77777777" w:rsidTr="00AF7BC4">
        <w:trPr>
          <w:jc w:val="center"/>
        </w:trPr>
        <w:tc>
          <w:tcPr>
            <w:tcW w:w="5229" w:type="dxa"/>
            <w:vAlign w:val="bottom"/>
          </w:tcPr>
          <w:p w14:paraId="423F8BD1" w14:textId="7071096F" w:rsidR="003C3F18" w:rsidRPr="00BC5F50" w:rsidRDefault="003C3F18" w:rsidP="003C3F18">
            <w:pPr>
              <w:pStyle w:val="ROMANOS"/>
              <w:spacing w:after="0" w:line="240" w:lineRule="exact"/>
              <w:ind w:left="0" w:firstLine="0"/>
              <w:rPr>
                <w:lang w:val="es-MX"/>
              </w:rPr>
            </w:pPr>
            <w:r w:rsidRPr="00BC5F50">
              <w:rPr>
                <w:color w:val="000000"/>
              </w:rPr>
              <w:t>Ingresos por recuperar a corto plazo</w:t>
            </w:r>
          </w:p>
        </w:tc>
        <w:tc>
          <w:tcPr>
            <w:tcW w:w="1984" w:type="dxa"/>
            <w:tcBorders>
              <w:top w:val="single" w:sz="4" w:space="0" w:color="auto"/>
              <w:left w:val="nil"/>
              <w:bottom w:val="single" w:sz="4" w:space="0" w:color="auto"/>
              <w:right w:val="single" w:sz="4" w:space="0" w:color="auto"/>
            </w:tcBorders>
            <w:shd w:val="clear" w:color="auto" w:fill="auto"/>
            <w:vAlign w:val="bottom"/>
          </w:tcPr>
          <w:p w14:paraId="1AE3A90B" w14:textId="1D32A806" w:rsidR="003C3F18" w:rsidRPr="003C3F18" w:rsidRDefault="003C3F18" w:rsidP="003C3F18">
            <w:pPr>
              <w:pStyle w:val="ROMANOS"/>
              <w:spacing w:after="0" w:line="240" w:lineRule="exact"/>
              <w:ind w:left="0" w:firstLine="0"/>
              <w:jc w:val="right"/>
              <w:rPr>
                <w:noProof/>
                <w:color w:val="000000"/>
              </w:rPr>
            </w:pPr>
            <w:r w:rsidRPr="003C3F18">
              <w:rPr>
                <w:noProof/>
                <w:color w:val="000000"/>
              </w:rPr>
              <w:t>0</w:t>
            </w:r>
            <w:r w:rsidR="00343090">
              <w:rPr>
                <w:noProof/>
                <w:color w:val="000000"/>
              </w:rPr>
              <w:t>.00</w:t>
            </w:r>
          </w:p>
        </w:tc>
      </w:tr>
      <w:tr w:rsidR="003C3F18" w:rsidRPr="00BC5F50" w14:paraId="5C8689F6" w14:textId="77777777" w:rsidTr="00AF7BC4">
        <w:trPr>
          <w:jc w:val="center"/>
        </w:trPr>
        <w:tc>
          <w:tcPr>
            <w:tcW w:w="5229" w:type="dxa"/>
            <w:vAlign w:val="bottom"/>
          </w:tcPr>
          <w:p w14:paraId="5B807B5B" w14:textId="1598E1F1" w:rsidR="003C3F18" w:rsidRPr="00BC5F50" w:rsidRDefault="003C3F18" w:rsidP="003C3F18">
            <w:pPr>
              <w:pStyle w:val="ROMANOS"/>
              <w:spacing w:after="0" w:line="240" w:lineRule="exact"/>
              <w:ind w:left="0" w:firstLine="0"/>
              <w:rPr>
                <w:lang w:val="es-MX"/>
              </w:rPr>
            </w:pPr>
            <w:r w:rsidRPr="00BC5F50">
              <w:rPr>
                <w:color w:val="000000"/>
              </w:rPr>
              <w:t>Deudores por anticipos de la tesorería a corto plazo</w:t>
            </w:r>
          </w:p>
        </w:tc>
        <w:tc>
          <w:tcPr>
            <w:tcW w:w="1984" w:type="dxa"/>
            <w:tcBorders>
              <w:top w:val="single" w:sz="4" w:space="0" w:color="auto"/>
              <w:left w:val="nil"/>
              <w:bottom w:val="single" w:sz="4" w:space="0" w:color="auto"/>
              <w:right w:val="single" w:sz="4" w:space="0" w:color="auto"/>
            </w:tcBorders>
            <w:shd w:val="clear" w:color="auto" w:fill="auto"/>
            <w:vAlign w:val="bottom"/>
          </w:tcPr>
          <w:p w14:paraId="6B093D6E" w14:textId="1D15FE75" w:rsidR="003C3F18" w:rsidRPr="003C3F18" w:rsidRDefault="003C3F18" w:rsidP="003C3F18">
            <w:pPr>
              <w:pStyle w:val="ROMANOS"/>
              <w:spacing w:after="0" w:line="240" w:lineRule="exact"/>
              <w:ind w:left="0" w:firstLine="0"/>
              <w:jc w:val="right"/>
              <w:rPr>
                <w:noProof/>
                <w:color w:val="000000"/>
              </w:rPr>
            </w:pPr>
            <w:r w:rsidRPr="003C3F18">
              <w:rPr>
                <w:noProof/>
                <w:color w:val="000000"/>
              </w:rPr>
              <w:t>145,795.93</w:t>
            </w:r>
          </w:p>
        </w:tc>
      </w:tr>
      <w:tr w:rsidR="003C3F18" w:rsidRPr="00BC5F50" w14:paraId="1447845A" w14:textId="77777777" w:rsidTr="00AF7BC4">
        <w:trPr>
          <w:jc w:val="center"/>
        </w:trPr>
        <w:tc>
          <w:tcPr>
            <w:tcW w:w="5229" w:type="dxa"/>
            <w:vAlign w:val="bottom"/>
          </w:tcPr>
          <w:p w14:paraId="413B3C26" w14:textId="22E6E928" w:rsidR="003C3F18" w:rsidRPr="00BC5F50" w:rsidRDefault="003C3F18" w:rsidP="003C3F18">
            <w:pPr>
              <w:pStyle w:val="ROMANOS"/>
              <w:spacing w:after="0" w:line="240" w:lineRule="exact"/>
              <w:ind w:left="0" w:firstLine="0"/>
              <w:rPr>
                <w:lang w:val="es-MX"/>
              </w:rPr>
            </w:pPr>
            <w:r w:rsidRPr="00BC5F50">
              <w:rPr>
                <w:color w:val="000000"/>
              </w:rPr>
              <w:t>Otros derechos a recibir efectivo o equivalentes a corto plazo</w:t>
            </w:r>
          </w:p>
        </w:tc>
        <w:tc>
          <w:tcPr>
            <w:tcW w:w="1984" w:type="dxa"/>
            <w:tcBorders>
              <w:top w:val="single" w:sz="4" w:space="0" w:color="auto"/>
              <w:left w:val="nil"/>
              <w:bottom w:val="single" w:sz="4" w:space="0" w:color="auto"/>
              <w:right w:val="single" w:sz="4" w:space="0" w:color="auto"/>
            </w:tcBorders>
            <w:shd w:val="clear" w:color="auto" w:fill="auto"/>
            <w:vAlign w:val="bottom"/>
          </w:tcPr>
          <w:p w14:paraId="186FCE3C" w14:textId="07B7407B" w:rsidR="003C3F18" w:rsidRPr="003C3F18" w:rsidRDefault="003C3F18" w:rsidP="003C3F18">
            <w:pPr>
              <w:pStyle w:val="ROMANOS"/>
              <w:spacing w:after="0" w:line="240" w:lineRule="exact"/>
              <w:ind w:left="0" w:firstLine="0"/>
              <w:jc w:val="right"/>
              <w:rPr>
                <w:noProof/>
                <w:color w:val="000000"/>
              </w:rPr>
            </w:pPr>
            <w:r w:rsidRPr="003C3F18">
              <w:rPr>
                <w:noProof/>
                <w:color w:val="000000"/>
              </w:rPr>
              <w:t>764,671.35</w:t>
            </w:r>
          </w:p>
        </w:tc>
      </w:tr>
      <w:tr w:rsidR="001A5B66" w:rsidRPr="00323DA4" w14:paraId="01DEEB90" w14:textId="77777777" w:rsidTr="00AF7BC4">
        <w:trPr>
          <w:jc w:val="center"/>
        </w:trPr>
        <w:tc>
          <w:tcPr>
            <w:tcW w:w="5229" w:type="dxa"/>
            <w:vAlign w:val="bottom"/>
          </w:tcPr>
          <w:p w14:paraId="3A66DAD3" w14:textId="6FBC6D63" w:rsidR="001A5B66" w:rsidRPr="00323DA4" w:rsidRDefault="001A5B66" w:rsidP="00AF7BC4">
            <w:pPr>
              <w:pStyle w:val="ROMANOS"/>
              <w:spacing w:after="0" w:line="240" w:lineRule="exact"/>
              <w:ind w:left="0" w:firstLine="0"/>
              <w:rPr>
                <w:b/>
                <w:color w:val="000000"/>
              </w:rPr>
            </w:pPr>
            <w:r w:rsidRPr="00323DA4">
              <w:rPr>
                <w:b/>
                <w:color w:val="000000"/>
              </w:rPr>
              <w:t>Suma</w:t>
            </w:r>
          </w:p>
        </w:tc>
        <w:tc>
          <w:tcPr>
            <w:tcW w:w="1984" w:type="dxa"/>
            <w:tcBorders>
              <w:top w:val="single" w:sz="4" w:space="0" w:color="auto"/>
              <w:left w:val="nil"/>
              <w:bottom w:val="single" w:sz="4" w:space="0" w:color="auto"/>
              <w:right w:val="single" w:sz="4" w:space="0" w:color="auto"/>
            </w:tcBorders>
            <w:shd w:val="clear" w:color="auto" w:fill="auto"/>
            <w:vAlign w:val="bottom"/>
          </w:tcPr>
          <w:p w14:paraId="16E59DAE" w14:textId="2DB00D7D" w:rsidR="001A5B66" w:rsidRPr="00323DA4" w:rsidRDefault="00EB6F6B" w:rsidP="001A5B66">
            <w:pPr>
              <w:pStyle w:val="ROMANOS"/>
              <w:spacing w:after="0" w:line="240" w:lineRule="exact"/>
              <w:ind w:left="0" w:firstLine="0"/>
              <w:jc w:val="right"/>
              <w:rPr>
                <w:b/>
                <w:color w:val="000000"/>
              </w:rPr>
            </w:pPr>
            <w:r w:rsidRPr="00323DA4">
              <w:rPr>
                <w:b/>
                <w:color w:val="000000"/>
              </w:rPr>
              <w:fldChar w:fldCharType="begin"/>
            </w:r>
            <w:r w:rsidRPr="00323DA4">
              <w:rPr>
                <w:b/>
                <w:color w:val="000000"/>
              </w:rPr>
              <w:instrText xml:space="preserve"> =SUM(ABOVE) </w:instrText>
            </w:r>
            <w:r w:rsidRPr="00323DA4">
              <w:rPr>
                <w:b/>
                <w:color w:val="000000"/>
              </w:rPr>
              <w:fldChar w:fldCharType="separate"/>
            </w:r>
            <w:r w:rsidRPr="00323DA4">
              <w:rPr>
                <w:b/>
                <w:noProof/>
                <w:color w:val="000000"/>
              </w:rPr>
              <w:t>11,881,190.93</w:t>
            </w:r>
            <w:r w:rsidRPr="00323DA4">
              <w:rPr>
                <w:b/>
                <w:color w:val="000000"/>
              </w:rPr>
              <w:fldChar w:fldCharType="end"/>
            </w:r>
          </w:p>
        </w:tc>
      </w:tr>
    </w:tbl>
    <w:p w14:paraId="620EF8D7" w14:textId="77777777" w:rsidR="00AC7F8A" w:rsidRDefault="00AC7F8A" w:rsidP="00AC7F8A">
      <w:pPr>
        <w:pStyle w:val="ROMANOS"/>
        <w:spacing w:after="0" w:line="240" w:lineRule="exact"/>
        <w:rPr>
          <w:lang w:val="es-MX"/>
        </w:rPr>
      </w:pPr>
    </w:p>
    <w:p w14:paraId="620EF8D8" w14:textId="77777777" w:rsidR="002644BD" w:rsidRPr="00630DB0" w:rsidRDefault="002644BD" w:rsidP="00AC7F8A">
      <w:pPr>
        <w:pStyle w:val="ROMANOS"/>
        <w:spacing w:after="0" w:line="240" w:lineRule="exact"/>
        <w:rPr>
          <w:lang w:val="es-MX"/>
        </w:rPr>
      </w:pPr>
    </w:p>
    <w:p w14:paraId="620EF8D9" w14:textId="0F6AC725" w:rsidR="00AC7F8A" w:rsidRPr="00630DB0" w:rsidRDefault="00AC7F8A" w:rsidP="00AC7F8A">
      <w:pPr>
        <w:pStyle w:val="ROMANOS"/>
        <w:spacing w:after="0" w:line="240" w:lineRule="exact"/>
        <w:rPr>
          <w:b/>
          <w:lang w:val="es-MX"/>
        </w:rPr>
      </w:pPr>
      <w:r w:rsidRPr="00630DB0">
        <w:rPr>
          <w:b/>
          <w:lang w:val="es-MX"/>
        </w:rPr>
        <w:tab/>
        <w:t>Bienes Disponibles para su Transformación o Consumo (inventarios)</w:t>
      </w:r>
      <w:r w:rsidR="0072046B">
        <w:rPr>
          <w:b/>
          <w:lang w:val="es-MX"/>
        </w:rPr>
        <w:t>.</w:t>
      </w:r>
    </w:p>
    <w:p w14:paraId="620EF8DB" w14:textId="077FE424" w:rsidR="00AC7F8A" w:rsidRDefault="00AC7F8A" w:rsidP="00AC7F8A">
      <w:pPr>
        <w:pStyle w:val="ROMANOS"/>
        <w:spacing w:after="0" w:line="240" w:lineRule="exact"/>
        <w:rPr>
          <w:lang w:val="es-MX"/>
        </w:rPr>
      </w:pPr>
      <w:r>
        <w:rPr>
          <w:lang w:val="es-MX"/>
        </w:rPr>
        <w:tab/>
      </w:r>
      <w:r w:rsidR="005C0FD1">
        <w:rPr>
          <w:lang w:val="es-MX"/>
        </w:rPr>
        <w:t xml:space="preserve">La </w:t>
      </w:r>
      <w:r w:rsidR="005C0FD1" w:rsidRPr="002B3AF4">
        <w:t>Secretar</w:t>
      </w:r>
      <w:r w:rsidR="005C0FD1">
        <w:t>ía</w:t>
      </w:r>
      <w:r w:rsidR="005C0FD1" w:rsidRPr="002B3AF4">
        <w:t xml:space="preserve"> de Salud y O.P.D. Salud de Tlaxcala</w:t>
      </w:r>
      <w:r w:rsidR="005C0FD1" w:rsidRPr="002B3AF4">
        <w:rPr>
          <w:lang w:val="es-MX"/>
        </w:rPr>
        <w:t xml:space="preserve"> </w:t>
      </w:r>
      <w:r w:rsidR="005C0FD1">
        <w:rPr>
          <w:lang w:val="es-MX"/>
        </w:rPr>
        <w:t xml:space="preserve">realiza el registro de adquisición de bienes y suministros sin afectar la cuenta de almacén, sin embargo, </w:t>
      </w:r>
      <w:r w:rsidRPr="00BB0B8C">
        <w:rPr>
          <w:lang w:val="es-MX"/>
        </w:rPr>
        <w:t xml:space="preserve">reconoce </w:t>
      </w:r>
      <w:r w:rsidR="005C0FD1">
        <w:rPr>
          <w:lang w:val="es-MX"/>
        </w:rPr>
        <w:t xml:space="preserve">el valor de las existencias de bienes disponibles para su consumo </w:t>
      </w:r>
      <w:r w:rsidRPr="00BB0B8C">
        <w:rPr>
          <w:lang w:val="es-MX"/>
        </w:rPr>
        <w:t xml:space="preserve">a través de cuentas de orden </w:t>
      </w:r>
      <w:r w:rsidR="005C0FD1">
        <w:rPr>
          <w:lang w:val="es-MX"/>
        </w:rPr>
        <w:t>contables</w:t>
      </w:r>
      <w:r w:rsidRPr="00BB0B8C">
        <w:rPr>
          <w:lang w:val="es-MX"/>
        </w:rPr>
        <w:t>.</w:t>
      </w:r>
    </w:p>
    <w:p w14:paraId="620EF8DC" w14:textId="77777777" w:rsidR="00AC7F8A" w:rsidRDefault="00AC7F8A" w:rsidP="00AC7F8A">
      <w:pPr>
        <w:pStyle w:val="ROMANOS"/>
        <w:spacing w:after="0" w:line="240" w:lineRule="exact"/>
        <w:rPr>
          <w:lang w:val="es-MX"/>
        </w:rPr>
      </w:pPr>
    </w:p>
    <w:p w14:paraId="620EF8DD" w14:textId="77777777" w:rsidR="002644BD" w:rsidRPr="00630DB0" w:rsidRDefault="002644BD" w:rsidP="00AC7F8A">
      <w:pPr>
        <w:pStyle w:val="ROMANOS"/>
        <w:spacing w:after="0" w:line="240" w:lineRule="exact"/>
        <w:rPr>
          <w:lang w:val="es-MX"/>
        </w:rPr>
      </w:pPr>
    </w:p>
    <w:p w14:paraId="620EF8DE" w14:textId="77777777" w:rsidR="00AC7F8A" w:rsidRPr="00630DB0" w:rsidRDefault="00AC7F8A" w:rsidP="00AC7F8A">
      <w:pPr>
        <w:pStyle w:val="ROMANOS"/>
        <w:spacing w:after="0" w:line="240" w:lineRule="exact"/>
        <w:rPr>
          <w:b/>
          <w:lang w:val="es-MX"/>
        </w:rPr>
      </w:pPr>
      <w:r w:rsidRPr="00630DB0">
        <w:rPr>
          <w:b/>
          <w:lang w:val="es-MX"/>
        </w:rPr>
        <w:tab/>
        <w:t>Inversiones Financieras</w:t>
      </w:r>
    </w:p>
    <w:p w14:paraId="620EF8DF" w14:textId="73B08B90" w:rsidR="00AC7F8A" w:rsidRPr="00630DB0" w:rsidRDefault="00AC7F8A" w:rsidP="00AC7F8A">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n</w:t>
      </w:r>
      <w:r w:rsidRPr="002B3AF4">
        <w:rPr>
          <w:lang w:val="es-MX"/>
        </w:rPr>
        <w:t>o cuenta con Inversiones financieras</w:t>
      </w:r>
      <w:r w:rsidRPr="00630DB0">
        <w:rPr>
          <w:lang w:val="es-MX"/>
        </w:rPr>
        <w:t>.</w:t>
      </w:r>
    </w:p>
    <w:p w14:paraId="7C632BE8" w14:textId="06D74D1D" w:rsidR="00BA75F8" w:rsidRDefault="00BA75F8" w:rsidP="00AC7F8A">
      <w:pPr>
        <w:pStyle w:val="ROMANOS"/>
        <w:spacing w:after="0" w:line="240" w:lineRule="exact"/>
        <w:rPr>
          <w:lang w:val="es-MX"/>
        </w:rPr>
      </w:pPr>
    </w:p>
    <w:p w14:paraId="0CB5FC3F" w14:textId="77777777" w:rsidR="00BA75F8" w:rsidRDefault="00BA75F8" w:rsidP="00AC7F8A">
      <w:pPr>
        <w:pStyle w:val="ROMANOS"/>
        <w:spacing w:after="0" w:line="240" w:lineRule="exact"/>
        <w:rPr>
          <w:lang w:val="es-MX"/>
        </w:rPr>
      </w:pPr>
    </w:p>
    <w:p w14:paraId="620EF8E3" w14:textId="77777777" w:rsidR="002644BD" w:rsidRPr="00630DB0" w:rsidRDefault="002644BD" w:rsidP="00AC7F8A">
      <w:pPr>
        <w:pStyle w:val="ROMANOS"/>
        <w:spacing w:after="0" w:line="240" w:lineRule="exact"/>
        <w:rPr>
          <w:lang w:val="es-MX"/>
        </w:rPr>
      </w:pPr>
    </w:p>
    <w:p w14:paraId="620EF8E4" w14:textId="77777777" w:rsidR="00AC7F8A" w:rsidRPr="00F75314" w:rsidRDefault="00AC7F8A" w:rsidP="00AC7F8A">
      <w:pPr>
        <w:pStyle w:val="ROMANOS"/>
        <w:spacing w:after="0" w:line="240" w:lineRule="exact"/>
        <w:rPr>
          <w:b/>
          <w:lang w:val="es-MX"/>
        </w:rPr>
      </w:pPr>
      <w:r w:rsidRPr="00630DB0">
        <w:rPr>
          <w:b/>
          <w:lang w:val="es-MX"/>
        </w:rPr>
        <w:tab/>
      </w:r>
      <w:r w:rsidRPr="00F75314">
        <w:rPr>
          <w:b/>
          <w:lang w:val="es-MX"/>
        </w:rPr>
        <w:t>Bienes Muebles, Inmuebles e Intangibles</w:t>
      </w:r>
    </w:p>
    <w:p w14:paraId="620EF8E5" w14:textId="12A853FA" w:rsidR="00AC7F8A" w:rsidRDefault="004431B3" w:rsidP="00AC7F8A">
      <w:pPr>
        <w:pStyle w:val="ROMANOS"/>
        <w:spacing w:after="0" w:line="240" w:lineRule="exact"/>
        <w:rPr>
          <w:lang w:val="es-MX"/>
        </w:rPr>
      </w:pPr>
      <w:r>
        <w:rPr>
          <w:lang w:val="es-MX"/>
        </w:rPr>
        <w:tab/>
      </w:r>
      <w:r w:rsidR="00AC7F8A" w:rsidRPr="00E11756">
        <w:rPr>
          <w:lang w:val="es-MX"/>
        </w:rPr>
        <w:t>E</w:t>
      </w:r>
      <w:r w:rsidR="00BA75F8">
        <w:rPr>
          <w:lang w:val="es-MX"/>
        </w:rPr>
        <w:t>n e</w:t>
      </w:r>
      <w:r w:rsidR="00AC7F8A" w:rsidRPr="00E11756">
        <w:rPr>
          <w:lang w:val="es-MX"/>
        </w:rPr>
        <w:t xml:space="preserve">l rubro de Bienes Inmuebles se </w:t>
      </w:r>
      <w:r w:rsidR="00BA75F8">
        <w:rPr>
          <w:lang w:val="es-MX"/>
        </w:rPr>
        <w:t>realizó un</w:t>
      </w:r>
      <w:r w:rsidR="00AC7F8A" w:rsidRPr="00E11756">
        <w:rPr>
          <w:lang w:val="es-MX"/>
        </w:rPr>
        <w:t xml:space="preserve"> avaluó al 30 de junio de 2016, y </w:t>
      </w:r>
      <w:r w:rsidR="00BA75F8">
        <w:rPr>
          <w:lang w:val="es-MX"/>
        </w:rPr>
        <w:t>posterior a esa fecha se registran a su</w:t>
      </w:r>
      <w:r w:rsidR="00AC7F8A" w:rsidRPr="00E11756">
        <w:rPr>
          <w:lang w:val="es-MX"/>
        </w:rPr>
        <w:t xml:space="preserve"> valor de realización; reconociendo la normatividad emitida por el Consejo Nacional de Armonización Contable</w:t>
      </w:r>
      <w:r w:rsidR="002B14A4">
        <w:rPr>
          <w:lang w:val="es-MX"/>
        </w:rPr>
        <w:t xml:space="preserve">, </w:t>
      </w:r>
      <w:r w:rsidR="002B14A4">
        <w:t xml:space="preserve">a la fecha no se han efectuado </w:t>
      </w:r>
      <w:r w:rsidR="0046745F">
        <w:t>depreciaciones</w:t>
      </w:r>
      <w:r w:rsidR="002B14A4">
        <w:t xml:space="preserve"> a los</w:t>
      </w:r>
      <w:r w:rsidR="0046745F">
        <w:t xml:space="preserve"> bienes inmuebles</w:t>
      </w:r>
      <w:r w:rsidR="00AC7F8A" w:rsidRPr="00E11756">
        <w:rPr>
          <w:lang w:val="es-MX"/>
        </w:rPr>
        <w:t>.</w:t>
      </w:r>
    </w:p>
    <w:p w14:paraId="6D161489" w14:textId="77777777" w:rsidR="00BA75F8" w:rsidRDefault="00BA75F8" w:rsidP="00AC7F8A">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BA75F8" w:rsidRPr="00BD71CE" w14:paraId="13FD5A9E" w14:textId="77777777" w:rsidTr="00E54B7E">
        <w:trPr>
          <w:jc w:val="center"/>
        </w:trPr>
        <w:tc>
          <w:tcPr>
            <w:tcW w:w="4629" w:type="dxa"/>
            <w:noWrap/>
          </w:tcPr>
          <w:p w14:paraId="0E5D846D" w14:textId="77777777" w:rsidR="00BA75F8" w:rsidRPr="00BD71CE" w:rsidRDefault="00BA75F8" w:rsidP="00E54B7E">
            <w:pPr>
              <w:pStyle w:val="ROMANOS"/>
              <w:spacing w:after="0" w:line="240" w:lineRule="auto"/>
            </w:pPr>
            <w:r w:rsidRPr="00BD71CE">
              <w:t>CONCEPTO</w:t>
            </w:r>
          </w:p>
        </w:tc>
        <w:tc>
          <w:tcPr>
            <w:tcW w:w="1984" w:type="dxa"/>
            <w:noWrap/>
          </w:tcPr>
          <w:p w14:paraId="34AE0B89" w14:textId="77777777" w:rsidR="00BA75F8" w:rsidRPr="00BD71CE" w:rsidRDefault="00BA75F8" w:rsidP="00E54B7E">
            <w:pPr>
              <w:pStyle w:val="ROMANOS"/>
              <w:spacing w:after="0" w:line="240" w:lineRule="auto"/>
              <w:jc w:val="center"/>
            </w:pPr>
            <w:r w:rsidRPr="00BD71CE">
              <w:t>IMPORTE</w:t>
            </w:r>
          </w:p>
        </w:tc>
      </w:tr>
      <w:tr w:rsidR="00611646" w:rsidRPr="00BD71CE" w14:paraId="1654EE81" w14:textId="77777777" w:rsidTr="0011163A">
        <w:trPr>
          <w:jc w:val="center"/>
        </w:trPr>
        <w:tc>
          <w:tcPr>
            <w:tcW w:w="4629" w:type="dxa"/>
            <w:noWrap/>
          </w:tcPr>
          <w:p w14:paraId="798A1CB0" w14:textId="77777777" w:rsidR="00611646" w:rsidRPr="00BD71CE" w:rsidRDefault="00611646" w:rsidP="00611646">
            <w:pPr>
              <w:pStyle w:val="ROMANOS"/>
              <w:spacing w:after="0" w:line="240" w:lineRule="auto"/>
            </w:pPr>
            <w:r w:rsidRPr="00BD71CE">
              <w:t>Edificios no habitacionales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B7C1B" w14:textId="42D61302" w:rsidR="00611646" w:rsidRPr="00BD71CE" w:rsidRDefault="00611646" w:rsidP="00611646">
            <w:pPr>
              <w:jc w:val="right"/>
              <w:rPr>
                <w:rFonts w:ascii="Arial" w:hAnsi="Arial" w:cs="Arial"/>
                <w:color w:val="000000"/>
                <w:sz w:val="18"/>
                <w:szCs w:val="18"/>
              </w:rPr>
            </w:pPr>
            <w:r>
              <w:rPr>
                <w:rFonts w:ascii="Arial" w:hAnsi="Arial" w:cs="Arial"/>
                <w:color w:val="000000"/>
                <w:sz w:val="18"/>
                <w:szCs w:val="18"/>
              </w:rPr>
              <w:t>2,439,324,373.37</w:t>
            </w:r>
          </w:p>
        </w:tc>
      </w:tr>
      <w:tr w:rsidR="00611646" w:rsidRPr="00BD71CE" w14:paraId="6F82999C" w14:textId="77777777" w:rsidTr="0011163A">
        <w:trPr>
          <w:jc w:val="center"/>
        </w:trPr>
        <w:tc>
          <w:tcPr>
            <w:tcW w:w="4629" w:type="dxa"/>
            <w:noWrap/>
          </w:tcPr>
          <w:p w14:paraId="0BEC7B54" w14:textId="1650118D" w:rsidR="00611646" w:rsidRPr="00BD71CE" w:rsidRDefault="00611646" w:rsidP="00611646">
            <w:pPr>
              <w:pStyle w:val="ROMANOS"/>
              <w:spacing w:after="0" w:line="240" w:lineRule="auto"/>
              <w:rPr>
                <w:lang w:val="es-MX"/>
              </w:rPr>
            </w:pPr>
            <w:r w:rsidRPr="00BD71CE">
              <w:rPr>
                <w:lang w:val="es-MX"/>
              </w:rPr>
              <w:t>Construcciones en proceso en bienes propios</w:t>
            </w:r>
          </w:p>
        </w:tc>
        <w:tc>
          <w:tcPr>
            <w:tcW w:w="1984" w:type="dxa"/>
            <w:tcBorders>
              <w:top w:val="nil"/>
              <w:left w:val="single" w:sz="4" w:space="0" w:color="auto"/>
              <w:bottom w:val="single" w:sz="4" w:space="0" w:color="auto"/>
              <w:right w:val="single" w:sz="4" w:space="0" w:color="auto"/>
            </w:tcBorders>
            <w:shd w:val="clear" w:color="auto" w:fill="auto"/>
            <w:noWrap/>
            <w:vAlign w:val="bottom"/>
          </w:tcPr>
          <w:p w14:paraId="0A440BBA" w14:textId="4A957F00" w:rsidR="001A5B66" w:rsidRPr="001A5B66" w:rsidRDefault="003C3F18" w:rsidP="001A5B66">
            <w:pPr>
              <w:jc w:val="right"/>
              <w:rPr>
                <w:rFonts w:ascii="Arial" w:hAnsi="Arial" w:cs="Arial"/>
                <w:color w:val="000000"/>
                <w:sz w:val="18"/>
                <w:szCs w:val="18"/>
              </w:rPr>
            </w:pPr>
            <w:r w:rsidRPr="003C3F18">
              <w:rPr>
                <w:rFonts w:ascii="Arial" w:hAnsi="Arial" w:cs="Arial"/>
                <w:color w:val="000000"/>
                <w:sz w:val="18"/>
                <w:szCs w:val="18"/>
              </w:rPr>
              <w:t>151</w:t>
            </w:r>
            <w:r w:rsidR="009037B9">
              <w:rPr>
                <w:rFonts w:ascii="Arial" w:hAnsi="Arial" w:cs="Arial"/>
                <w:color w:val="000000"/>
                <w:sz w:val="18"/>
                <w:szCs w:val="18"/>
              </w:rPr>
              <w:t>,</w:t>
            </w:r>
            <w:r w:rsidRPr="003C3F18">
              <w:rPr>
                <w:rFonts w:ascii="Arial" w:hAnsi="Arial" w:cs="Arial"/>
                <w:color w:val="000000"/>
                <w:sz w:val="18"/>
                <w:szCs w:val="18"/>
              </w:rPr>
              <w:t>911</w:t>
            </w:r>
            <w:r w:rsidR="009037B9">
              <w:rPr>
                <w:rFonts w:ascii="Arial" w:hAnsi="Arial" w:cs="Arial"/>
                <w:color w:val="000000"/>
                <w:sz w:val="18"/>
                <w:szCs w:val="18"/>
              </w:rPr>
              <w:t>,</w:t>
            </w:r>
            <w:r w:rsidRPr="003C3F18">
              <w:rPr>
                <w:rFonts w:ascii="Arial" w:hAnsi="Arial" w:cs="Arial"/>
                <w:color w:val="000000"/>
                <w:sz w:val="18"/>
                <w:szCs w:val="18"/>
              </w:rPr>
              <w:t>255.79</w:t>
            </w:r>
          </w:p>
        </w:tc>
      </w:tr>
      <w:tr w:rsidR="00611646" w:rsidRPr="00323DA4" w14:paraId="06659278" w14:textId="77777777" w:rsidTr="00E54B7E">
        <w:trPr>
          <w:jc w:val="center"/>
        </w:trPr>
        <w:tc>
          <w:tcPr>
            <w:tcW w:w="4629" w:type="dxa"/>
            <w:noWrap/>
          </w:tcPr>
          <w:p w14:paraId="7309016D" w14:textId="55083B0D" w:rsidR="00611646" w:rsidRPr="00323DA4" w:rsidRDefault="00611646" w:rsidP="00611646">
            <w:pPr>
              <w:pStyle w:val="ROMANOS"/>
              <w:spacing w:after="0" w:line="240" w:lineRule="auto"/>
              <w:rPr>
                <w:b/>
              </w:rPr>
            </w:pPr>
            <w:r w:rsidRPr="00323DA4">
              <w:rPr>
                <w:b/>
              </w:rPr>
              <w:t>Suma</w:t>
            </w:r>
          </w:p>
        </w:tc>
        <w:tc>
          <w:tcPr>
            <w:tcW w:w="1984" w:type="dxa"/>
            <w:noWrap/>
          </w:tcPr>
          <w:p w14:paraId="3B88B3C6" w14:textId="7A5FDC5B" w:rsidR="00611646" w:rsidRPr="00323DA4" w:rsidRDefault="009037B9" w:rsidP="00611646">
            <w:pPr>
              <w:jc w:val="right"/>
              <w:rPr>
                <w:rFonts w:ascii="Arial" w:hAnsi="Arial" w:cs="Arial"/>
                <w:b/>
                <w:color w:val="000000"/>
                <w:sz w:val="18"/>
                <w:szCs w:val="16"/>
              </w:rPr>
            </w:pPr>
            <w:r w:rsidRPr="00323DA4">
              <w:rPr>
                <w:rFonts w:ascii="Arial" w:hAnsi="Arial" w:cs="Arial"/>
                <w:b/>
                <w:color w:val="000000"/>
                <w:sz w:val="18"/>
                <w:szCs w:val="16"/>
              </w:rPr>
              <w:fldChar w:fldCharType="begin"/>
            </w:r>
            <w:r w:rsidRPr="00323DA4">
              <w:rPr>
                <w:rFonts w:ascii="Arial" w:hAnsi="Arial" w:cs="Arial"/>
                <w:b/>
                <w:color w:val="000000"/>
                <w:sz w:val="18"/>
                <w:szCs w:val="16"/>
              </w:rPr>
              <w:instrText xml:space="preserve"> =SUM(ABOVE) </w:instrText>
            </w:r>
            <w:r w:rsidRPr="00323DA4">
              <w:rPr>
                <w:rFonts w:ascii="Arial" w:hAnsi="Arial" w:cs="Arial"/>
                <w:b/>
                <w:color w:val="000000"/>
                <w:sz w:val="18"/>
                <w:szCs w:val="16"/>
              </w:rPr>
              <w:fldChar w:fldCharType="separate"/>
            </w:r>
            <w:r w:rsidRPr="00323DA4">
              <w:rPr>
                <w:rFonts w:ascii="Arial" w:hAnsi="Arial" w:cs="Arial"/>
                <w:b/>
                <w:noProof/>
                <w:color w:val="000000"/>
                <w:sz w:val="18"/>
                <w:szCs w:val="16"/>
              </w:rPr>
              <w:t>2,591,235,629.16</w:t>
            </w:r>
            <w:r w:rsidRPr="00323DA4">
              <w:rPr>
                <w:rFonts w:ascii="Arial" w:hAnsi="Arial" w:cs="Arial"/>
                <w:b/>
                <w:color w:val="000000"/>
                <w:sz w:val="18"/>
                <w:szCs w:val="16"/>
              </w:rPr>
              <w:fldChar w:fldCharType="end"/>
            </w:r>
          </w:p>
        </w:tc>
      </w:tr>
    </w:tbl>
    <w:p w14:paraId="36E51B85" w14:textId="77777777" w:rsidR="00BA75F8" w:rsidRDefault="00BA75F8" w:rsidP="00AC7F8A">
      <w:pPr>
        <w:pStyle w:val="ROMANOS"/>
        <w:spacing w:after="0" w:line="240" w:lineRule="exact"/>
        <w:rPr>
          <w:lang w:val="es-MX"/>
        </w:rPr>
      </w:pPr>
    </w:p>
    <w:p w14:paraId="620EF8E6" w14:textId="77777777" w:rsidR="00AC7F8A" w:rsidRDefault="00AC7F8A" w:rsidP="00AC7F8A">
      <w:pPr>
        <w:pStyle w:val="ROMANOS"/>
        <w:spacing w:after="0" w:line="240" w:lineRule="exact"/>
        <w:rPr>
          <w:lang w:val="es-MX"/>
        </w:rPr>
      </w:pPr>
    </w:p>
    <w:p w14:paraId="620EF8E7" w14:textId="5FC59433" w:rsidR="00AC7F8A" w:rsidRDefault="00AC7F8A" w:rsidP="00AC7F8A">
      <w:pPr>
        <w:pStyle w:val="ROMANOS"/>
        <w:spacing w:after="0" w:line="240" w:lineRule="exact"/>
        <w:rPr>
          <w:lang w:val="es-MX"/>
        </w:rPr>
      </w:pPr>
      <w:r>
        <w:rPr>
          <w:lang w:val="es-MX"/>
        </w:rPr>
        <w:tab/>
      </w:r>
      <w:r w:rsidRPr="00E11756">
        <w:rPr>
          <w:lang w:val="es-MX"/>
        </w:rPr>
        <w:t>E</w:t>
      </w:r>
      <w:r w:rsidR="00BA75F8">
        <w:rPr>
          <w:lang w:val="es-MX"/>
        </w:rPr>
        <w:t>n e</w:t>
      </w:r>
      <w:r w:rsidRPr="00E11756">
        <w:rPr>
          <w:lang w:val="es-MX"/>
        </w:rPr>
        <w:t xml:space="preserve">l rubro Bienes Muebles se </w:t>
      </w:r>
      <w:r w:rsidR="00BA75F8">
        <w:rPr>
          <w:lang w:val="es-MX"/>
        </w:rPr>
        <w:t>realizó un</w:t>
      </w:r>
      <w:r w:rsidRPr="00E11756">
        <w:rPr>
          <w:lang w:val="es-MX"/>
        </w:rPr>
        <w:t xml:space="preserve"> avaluó a diciembre de 2015,</w:t>
      </w:r>
      <w:r w:rsidR="00BA75F8">
        <w:rPr>
          <w:lang w:val="es-MX"/>
        </w:rPr>
        <w:t xml:space="preserve"> y</w:t>
      </w:r>
      <w:r w:rsidRPr="00E11756">
        <w:rPr>
          <w:lang w:val="es-MX"/>
        </w:rPr>
        <w:t xml:space="preserve"> a partir del ejercicio 2016 el incremento del valor en libros </w:t>
      </w:r>
      <w:r w:rsidR="006F79A6">
        <w:rPr>
          <w:lang w:val="es-MX"/>
        </w:rPr>
        <w:t xml:space="preserve">es a precio de </w:t>
      </w:r>
      <w:r w:rsidRPr="00BB0B8C">
        <w:rPr>
          <w:lang w:val="es-MX"/>
        </w:rPr>
        <w:t>adquisición de los bienes</w:t>
      </w:r>
      <w:r w:rsidR="006F79A6">
        <w:rPr>
          <w:lang w:val="es-MX"/>
        </w:rPr>
        <w:t>,</w:t>
      </w:r>
      <w:r w:rsidRPr="00BB0B8C">
        <w:rPr>
          <w:lang w:val="es-MX"/>
        </w:rPr>
        <w:t xml:space="preserve"> reconociendo la normatividad emitida por el Consejo Nacional de Armonización Contable</w:t>
      </w:r>
      <w:r w:rsidR="006F79A6">
        <w:rPr>
          <w:lang w:val="es-MX"/>
        </w:rPr>
        <w:t>;</w:t>
      </w:r>
      <w:r w:rsidR="0046745F">
        <w:rPr>
          <w:lang w:val="es-MX"/>
        </w:rPr>
        <w:t xml:space="preserve"> </w:t>
      </w:r>
      <w:r w:rsidR="0046745F">
        <w:t>a la fecha no se han efectuado depreciaciones a los bienes muebles</w:t>
      </w:r>
      <w:r w:rsidRPr="00BB0B8C">
        <w:rPr>
          <w:lang w:val="es-MX"/>
        </w:rPr>
        <w:t>.</w:t>
      </w:r>
      <w:r w:rsidR="006F79A6" w:rsidRPr="006F79A6">
        <w:t xml:space="preserve"> </w:t>
      </w:r>
      <w:r w:rsidR="006F79A6">
        <w:t xml:space="preserve">Para el control </w:t>
      </w:r>
      <w:r w:rsidR="00032F70">
        <w:t>físico</w:t>
      </w:r>
      <w:r w:rsidR="006F79A6">
        <w:t xml:space="preserve"> de los bienes se utiliza el Sistema de Activos Gubernamentales</w:t>
      </w:r>
      <w:r w:rsidR="00032F70">
        <w:t>,</w:t>
      </w:r>
      <w:r w:rsidR="006F79A6">
        <w:t xml:space="preserve"> </w:t>
      </w:r>
      <w:r w:rsidR="00032F70">
        <w:t>cuyo responsable del registro</w:t>
      </w:r>
      <w:r w:rsidR="006F79A6">
        <w:t xml:space="preserve"> es </w:t>
      </w:r>
      <w:r w:rsidR="00032F70">
        <w:t>la</w:t>
      </w:r>
      <w:r w:rsidR="006F79A6">
        <w:t xml:space="preserve"> </w:t>
      </w:r>
      <w:r w:rsidR="00032F70">
        <w:t xml:space="preserve">oficina de </w:t>
      </w:r>
      <w:r w:rsidR="006F79A6">
        <w:t>suministros,</w:t>
      </w:r>
      <w:r w:rsidR="00032F70">
        <w:t xml:space="preserve"> mismo que </w:t>
      </w:r>
      <w:r w:rsidR="006F79A6">
        <w:t>se utiliza como control interno de los bienes o artículos que se reciben de los proveedores y a los cuales se les asigna un código.</w:t>
      </w:r>
    </w:p>
    <w:p w14:paraId="620EF8E8" w14:textId="77777777" w:rsidR="00AC7F8A" w:rsidRDefault="00AC7F8A" w:rsidP="00AC7F8A">
      <w:pPr>
        <w:pStyle w:val="ROMANOS"/>
        <w:spacing w:after="0" w:line="240" w:lineRule="exact"/>
        <w:rPr>
          <w:lang w:val="es-MX"/>
        </w:rPr>
      </w:pPr>
    </w:p>
    <w:p w14:paraId="620EF8E9" w14:textId="77777777" w:rsidR="00AC7F8A" w:rsidRDefault="00AC7F8A" w:rsidP="00AC7F8A">
      <w:pPr>
        <w:pStyle w:val="ROMANOS"/>
        <w:spacing w:after="0" w:line="240" w:lineRule="exact"/>
        <w:rPr>
          <w:lang w:val="es-MX"/>
        </w:rPr>
      </w:pPr>
      <w:r>
        <w:rPr>
          <w:lang w:val="es-MX"/>
        </w:rPr>
        <w:tab/>
      </w:r>
    </w:p>
    <w:tbl>
      <w:tblPr>
        <w:tblStyle w:val="Tablaconcuadrcula"/>
        <w:tblW w:w="0" w:type="auto"/>
        <w:jc w:val="center"/>
        <w:tblLook w:val="04A0" w:firstRow="1" w:lastRow="0" w:firstColumn="1" w:lastColumn="0" w:noHBand="0" w:noVBand="1"/>
      </w:tblPr>
      <w:tblGrid>
        <w:gridCol w:w="4629"/>
        <w:gridCol w:w="1984"/>
      </w:tblGrid>
      <w:tr w:rsidR="00AC7F8A" w:rsidRPr="00BD71CE" w14:paraId="620EF8EC" w14:textId="77777777" w:rsidTr="005C0FD1">
        <w:trPr>
          <w:jc w:val="center"/>
        </w:trPr>
        <w:tc>
          <w:tcPr>
            <w:tcW w:w="4629" w:type="dxa"/>
            <w:noWrap/>
          </w:tcPr>
          <w:p w14:paraId="620EF8EA" w14:textId="77777777" w:rsidR="00AC7F8A" w:rsidRPr="00BD71CE" w:rsidRDefault="00AC7F8A" w:rsidP="00AD6257">
            <w:pPr>
              <w:pStyle w:val="ROMANOS"/>
              <w:spacing w:after="0" w:line="240" w:lineRule="auto"/>
            </w:pPr>
            <w:r w:rsidRPr="00BD71CE">
              <w:t>CONCEPTO</w:t>
            </w:r>
          </w:p>
        </w:tc>
        <w:tc>
          <w:tcPr>
            <w:tcW w:w="1984" w:type="dxa"/>
            <w:noWrap/>
          </w:tcPr>
          <w:p w14:paraId="620EF8EB" w14:textId="77777777" w:rsidR="00AC7F8A" w:rsidRPr="00BD71CE" w:rsidRDefault="00AC7F8A" w:rsidP="005C0FD1">
            <w:pPr>
              <w:pStyle w:val="ROMANOS"/>
              <w:spacing w:after="0" w:line="240" w:lineRule="auto"/>
              <w:jc w:val="center"/>
            </w:pPr>
            <w:r w:rsidRPr="00BD71CE">
              <w:t>IMPORTE</w:t>
            </w:r>
          </w:p>
        </w:tc>
      </w:tr>
      <w:tr w:rsidR="00EB6F6B" w:rsidRPr="00BD71CE" w14:paraId="620EF8F5" w14:textId="77777777" w:rsidTr="00546D3F">
        <w:trPr>
          <w:jc w:val="center"/>
        </w:trPr>
        <w:tc>
          <w:tcPr>
            <w:tcW w:w="4629" w:type="dxa"/>
            <w:noWrap/>
            <w:hideMark/>
          </w:tcPr>
          <w:p w14:paraId="620EF8F3" w14:textId="6B540708" w:rsidR="00EB6F6B" w:rsidRPr="00BD71CE" w:rsidRDefault="00EB6F6B" w:rsidP="00EB6F6B">
            <w:pPr>
              <w:pStyle w:val="ROMANOS"/>
              <w:spacing w:after="0" w:line="240" w:lineRule="auto"/>
              <w:rPr>
                <w:b/>
              </w:rPr>
            </w:pPr>
            <w:r w:rsidRPr="00BD71CE">
              <w:t>Mobiliario y equipo de administración</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20EF8F4" w14:textId="32B04A95" w:rsidR="00EB6F6B" w:rsidRPr="00BD71CE" w:rsidRDefault="00EB6F6B" w:rsidP="00EB6F6B">
            <w:pPr>
              <w:jc w:val="right"/>
              <w:rPr>
                <w:rFonts w:ascii="Arial" w:hAnsi="Arial" w:cs="Arial"/>
                <w:color w:val="000000"/>
                <w:sz w:val="18"/>
                <w:szCs w:val="18"/>
              </w:rPr>
            </w:pPr>
            <w:r w:rsidRPr="00EB6F6B">
              <w:rPr>
                <w:rFonts w:ascii="Arial" w:hAnsi="Arial" w:cs="Arial"/>
                <w:color w:val="000000"/>
                <w:sz w:val="18"/>
                <w:szCs w:val="18"/>
              </w:rPr>
              <w:t>117,351,257.11</w:t>
            </w:r>
          </w:p>
        </w:tc>
      </w:tr>
      <w:tr w:rsidR="00EB6F6B" w:rsidRPr="00BD71CE" w14:paraId="620EF8F8" w14:textId="77777777" w:rsidTr="00546D3F">
        <w:trPr>
          <w:jc w:val="center"/>
        </w:trPr>
        <w:tc>
          <w:tcPr>
            <w:tcW w:w="4629" w:type="dxa"/>
            <w:noWrap/>
            <w:hideMark/>
          </w:tcPr>
          <w:p w14:paraId="620EF8F6" w14:textId="339FE102" w:rsidR="00EB6F6B" w:rsidRPr="00BD71CE" w:rsidRDefault="00EB6F6B" w:rsidP="00EB6F6B">
            <w:pPr>
              <w:pStyle w:val="ROMANOS"/>
              <w:spacing w:after="0" w:line="240" w:lineRule="auto"/>
              <w:rPr>
                <w:b/>
              </w:rPr>
            </w:pPr>
            <w:r w:rsidRPr="00BD71CE">
              <w:t>Mobiliario y equipo educacional y recreativo</w:t>
            </w:r>
          </w:p>
        </w:tc>
        <w:tc>
          <w:tcPr>
            <w:tcW w:w="1984" w:type="dxa"/>
            <w:tcBorders>
              <w:top w:val="nil"/>
              <w:left w:val="single" w:sz="4" w:space="0" w:color="auto"/>
              <w:bottom w:val="single" w:sz="4" w:space="0" w:color="auto"/>
              <w:right w:val="single" w:sz="4" w:space="0" w:color="auto"/>
            </w:tcBorders>
            <w:shd w:val="clear" w:color="auto" w:fill="auto"/>
            <w:noWrap/>
          </w:tcPr>
          <w:p w14:paraId="620EF8F7" w14:textId="544CA176" w:rsidR="00EB6F6B" w:rsidRPr="00BD71CE" w:rsidRDefault="00EB6F6B" w:rsidP="00EB6F6B">
            <w:pPr>
              <w:jc w:val="right"/>
              <w:rPr>
                <w:rFonts w:ascii="Arial" w:hAnsi="Arial" w:cs="Arial"/>
                <w:color w:val="000000"/>
                <w:sz w:val="18"/>
                <w:szCs w:val="18"/>
              </w:rPr>
            </w:pPr>
            <w:r w:rsidRPr="00EB6F6B">
              <w:rPr>
                <w:rFonts w:ascii="Arial" w:hAnsi="Arial" w:cs="Arial"/>
                <w:color w:val="000000"/>
                <w:sz w:val="18"/>
                <w:szCs w:val="18"/>
              </w:rPr>
              <w:t>5,148,729.93</w:t>
            </w:r>
          </w:p>
        </w:tc>
      </w:tr>
      <w:tr w:rsidR="00EB6F6B" w:rsidRPr="00BD71CE" w14:paraId="620EF8FB" w14:textId="77777777" w:rsidTr="00546D3F">
        <w:trPr>
          <w:jc w:val="center"/>
        </w:trPr>
        <w:tc>
          <w:tcPr>
            <w:tcW w:w="4629" w:type="dxa"/>
            <w:noWrap/>
            <w:hideMark/>
          </w:tcPr>
          <w:p w14:paraId="620EF8F9" w14:textId="41CE9D15" w:rsidR="00EB6F6B" w:rsidRPr="00BD71CE" w:rsidRDefault="00EB6F6B" w:rsidP="00EB6F6B">
            <w:pPr>
              <w:pStyle w:val="ROMANOS"/>
              <w:spacing w:after="0" w:line="240" w:lineRule="auto"/>
              <w:rPr>
                <w:b/>
              </w:rPr>
            </w:pPr>
            <w:r w:rsidRPr="00BD71CE">
              <w:t>Equipo e instrumental médico y de laboratorio</w:t>
            </w:r>
          </w:p>
        </w:tc>
        <w:tc>
          <w:tcPr>
            <w:tcW w:w="1984" w:type="dxa"/>
            <w:tcBorders>
              <w:top w:val="nil"/>
              <w:left w:val="single" w:sz="4" w:space="0" w:color="auto"/>
              <w:bottom w:val="single" w:sz="4" w:space="0" w:color="auto"/>
              <w:right w:val="single" w:sz="4" w:space="0" w:color="auto"/>
            </w:tcBorders>
            <w:shd w:val="clear" w:color="auto" w:fill="auto"/>
            <w:noWrap/>
          </w:tcPr>
          <w:p w14:paraId="620EF8FA" w14:textId="60067BF5" w:rsidR="00EB6F6B" w:rsidRPr="00BD71CE" w:rsidRDefault="00EB6F6B" w:rsidP="00EB6F6B">
            <w:pPr>
              <w:jc w:val="right"/>
              <w:rPr>
                <w:rFonts w:ascii="Arial" w:hAnsi="Arial" w:cs="Arial"/>
                <w:color w:val="000000"/>
                <w:sz w:val="18"/>
                <w:szCs w:val="18"/>
              </w:rPr>
            </w:pPr>
            <w:r w:rsidRPr="00EB6F6B">
              <w:rPr>
                <w:rFonts w:ascii="Arial" w:hAnsi="Arial" w:cs="Arial"/>
                <w:color w:val="000000"/>
                <w:sz w:val="18"/>
                <w:szCs w:val="18"/>
              </w:rPr>
              <w:t>622,712,806.53</w:t>
            </w:r>
          </w:p>
        </w:tc>
      </w:tr>
      <w:tr w:rsidR="00EB6F6B" w:rsidRPr="00BD71CE" w14:paraId="620EF8FE" w14:textId="77777777" w:rsidTr="00546D3F">
        <w:trPr>
          <w:jc w:val="center"/>
        </w:trPr>
        <w:tc>
          <w:tcPr>
            <w:tcW w:w="4629" w:type="dxa"/>
            <w:noWrap/>
          </w:tcPr>
          <w:p w14:paraId="620EF8FC" w14:textId="5FA02B9A" w:rsidR="00EB6F6B" w:rsidRPr="00BD71CE" w:rsidRDefault="00EB6F6B" w:rsidP="00EB6F6B">
            <w:pPr>
              <w:pStyle w:val="ROMANOS"/>
              <w:spacing w:after="0" w:line="240" w:lineRule="auto"/>
              <w:rPr>
                <w:b/>
              </w:rPr>
            </w:pPr>
            <w:r w:rsidRPr="00BD71CE">
              <w:t>Vehículos y equipo de transporte</w:t>
            </w:r>
          </w:p>
        </w:tc>
        <w:tc>
          <w:tcPr>
            <w:tcW w:w="1984" w:type="dxa"/>
            <w:tcBorders>
              <w:top w:val="nil"/>
              <w:left w:val="single" w:sz="4" w:space="0" w:color="auto"/>
              <w:bottom w:val="single" w:sz="4" w:space="0" w:color="auto"/>
              <w:right w:val="single" w:sz="4" w:space="0" w:color="auto"/>
            </w:tcBorders>
            <w:shd w:val="clear" w:color="auto" w:fill="auto"/>
            <w:noWrap/>
          </w:tcPr>
          <w:p w14:paraId="620EF8FD" w14:textId="4E006A46" w:rsidR="00EB6F6B" w:rsidRPr="00BD71CE" w:rsidRDefault="00EB6F6B" w:rsidP="00EB6F6B">
            <w:pPr>
              <w:jc w:val="right"/>
              <w:rPr>
                <w:rFonts w:ascii="Arial" w:hAnsi="Arial" w:cs="Arial"/>
                <w:color w:val="000000"/>
                <w:sz w:val="18"/>
                <w:szCs w:val="18"/>
              </w:rPr>
            </w:pPr>
            <w:r w:rsidRPr="00EB6F6B">
              <w:rPr>
                <w:rFonts w:ascii="Arial" w:hAnsi="Arial" w:cs="Arial"/>
                <w:color w:val="000000"/>
                <w:sz w:val="18"/>
                <w:szCs w:val="18"/>
              </w:rPr>
              <w:t>49,067,852.64</w:t>
            </w:r>
          </w:p>
        </w:tc>
      </w:tr>
      <w:tr w:rsidR="00EB6F6B" w:rsidRPr="00BD71CE" w14:paraId="0834E986" w14:textId="77777777" w:rsidTr="00546D3F">
        <w:trPr>
          <w:jc w:val="center"/>
        </w:trPr>
        <w:tc>
          <w:tcPr>
            <w:tcW w:w="4629" w:type="dxa"/>
            <w:noWrap/>
          </w:tcPr>
          <w:p w14:paraId="63E03C41" w14:textId="3AD67DFA" w:rsidR="00EB6F6B" w:rsidRPr="00BD71CE" w:rsidRDefault="00EB6F6B" w:rsidP="00EB6F6B">
            <w:pPr>
              <w:pStyle w:val="ROMANOS"/>
              <w:spacing w:after="0" w:line="240" w:lineRule="auto"/>
              <w:rPr>
                <w:b/>
              </w:rPr>
            </w:pPr>
            <w:r w:rsidRPr="00BD71CE">
              <w:t>Maquinaria, otros equipos y herramientas</w:t>
            </w:r>
          </w:p>
        </w:tc>
        <w:tc>
          <w:tcPr>
            <w:tcW w:w="1984" w:type="dxa"/>
            <w:tcBorders>
              <w:top w:val="nil"/>
              <w:left w:val="single" w:sz="4" w:space="0" w:color="auto"/>
              <w:bottom w:val="single" w:sz="4" w:space="0" w:color="auto"/>
              <w:right w:val="single" w:sz="4" w:space="0" w:color="auto"/>
            </w:tcBorders>
            <w:shd w:val="clear" w:color="auto" w:fill="auto"/>
            <w:noWrap/>
          </w:tcPr>
          <w:p w14:paraId="2C746434" w14:textId="0C55FAA3" w:rsidR="00EB6F6B" w:rsidRPr="00BD71CE" w:rsidRDefault="00EB6F6B" w:rsidP="00EB6F6B">
            <w:pPr>
              <w:jc w:val="right"/>
              <w:rPr>
                <w:rFonts w:ascii="Arial" w:hAnsi="Arial" w:cs="Arial"/>
                <w:color w:val="000000"/>
                <w:sz w:val="18"/>
                <w:szCs w:val="18"/>
              </w:rPr>
            </w:pPr>
            <w:r w:rsidRPr="00EB6F6B">
              <w:rPr>
                <w:rFonts w:ascii="Arial" w:hAnsi="Arial" w:cs="Arial"/>
                <w:color w:val="000000"/>
                <w:sz w:val="18"/>
                <w:szCs w:val="18"/>
              </w:rPr>
              <w:t>24,445,059.83</w:t>
            </w:r>
          </w:p>
        </w:tc>
      </w:tr>
      <w:tr w:rsidR="00611646" w:rsidRPr="00323DA4" w14:paraId="08111723" w14:textId="77777777" w:rsidTr="005C0FD1">
        <w:trPr>
          <w:jc w:val="center"/>
        </w:trPr>
        <w:tc>
          <w:tcPr>
            <w:tcW w:w="4629" w:type="dxa"/>
            <w:noWrap/>
          </w:tcPr>
          <w:p w14:paraId="7C6F97F2" w14:textId="6CBF3B03" w:rsidR="00611646" w:rsidRPr="00323DA4" w:rsidRDefault="00611646" w:rsidP="00611646">
            <w:pPr>
              <w:pStyle w:val="ROMANOS"/>
              <w:spacing w:after="0" w:line="240" w:lineRule="auto"/>
              <w:rPr>
                <w:b/>
              </w:rPr>
            </w:pPr>
            <w:r w:rsidRPr="00323DA4">
              <w:rPr>
                <w:b/>
              </w:rPr>
              <w:t>Suma</w:t>
            </w:r>
          </w:p>
        </w:tc>
        <w:tc>
          <w:tcPr>
            <w:tcW w:w="1984" w:type="dxa"/>
            <w:noWrap/>
          </w:tcPr>
          <w:p w14:paraId="60250A82" w14:textId="2E4B5743" w:rsidR="00611646" w:rsidRPr="00323DA4" w:rsidRDefault="00EB6F6B" w:rsidP="00611646">
            <w:pPr>
              <w:jc w:val="right"/>
              <w:rPr>
                <w:rFonts w:ascii="Arial" w:hAnsi="Arial" w:cs="Arial"/>
                <w:b/>
                <w:color w:val="000000"/>
                <w:sz w:val="18"/>
                <w:szCs w:val="18"/>
              </w:rPr>
            </w:pPr>
            <w:r w:rsidRPr="00323DA4">
              <w:rPr>
                <w:rFonts w:ascii="Arial" w:hAnsi="Arial" w:cs="Arial"/>
                <w:b/>
                <w:color w:val="000000"/>
                <w:sz w:val="18"/>
                <w:szCs w:val="18"/>
              </w:rPr>
              <w:fldChar w:fldCharType="begin"/>
            </w:r>
            <w:r w:rsidRPr="00323DA4">
              <w:rPr>
                <w:rFonts w:ascii="Arial" w:hAnsi="Arial" w:cs="Arial"/>
                <w:b/>
                <w:color w:val="000000"/>
                <w:sz w:val="18"/>
                <w:szCs w:val="18"/>
              </w:rPr>
              <w:instrText xml:space="preserve"> =SUM(ABOVE) </w:instrText>
            </w:r>
            <w:r w:rsidRPr="00323DA4">
              <w:rPr>
                <w:rFonts w:ascii="Arial" w:hAnsi="Arial" w:cs="Arial"/>
                <w:b/>
                <w:color w:val="000000"/>
                <w:sz w:val="18"/>
                <w:szCs w:val="18"/>
              </w:rPr>
              <w:fldChar w:fldCharType="separate"/>
            </w:r>
            <w:r w:rsidRPr="00323DA4">
              <w:rPr>
                <w:rFonts w:ascii="Arial" w:hAnsi="Arial" w:cs="Arial"/>
                <w:b/>
                <w:color w:val="000000"/>
                <w:sz w:val="18"/>
                <w:szCs w:val="18"/>
              </w:rPr>
              <w:t>818,725,706.04</w:t>
            </w:r>
            <w:r w:rsidRPr="00323DA4">
              <w:rPr>
                <w:rFonts w:ascii="Arial" w:hAnsi="Arial" w:cs="Arial"/>
                <w:b/>
                <w:color w:val="000000"/>
                <w:sz w:val="18"/>
                <w:szCs w:val="18"/>
              </w:rPr>
              <w:fldChar w:fldCharType="end"/>
            </w:r>
          </w:p>
        </w:tc>
      </w:tr>
    </w:tbl>
    <w:p w14:paraId="620EF902" w14:textId="77777777" w:rsidR="00AC7F8A" w:rsidRDefault="00AC7F8A" w:rsidP="00AC7F8A">
      <w:pPr>
        <w:pStyle w:val="ROMANOS"/>
        <w:spacing w:after="0" w:line="240" w:lineRule="auto"/>
        <w:rPr>
          <w:lang w:val="es-MX"/>
        </w:rPr>
      </w:pPr>
    </w:p>
    <w:p w14:paraId="620EF903" w14:textId="77777777" w:rsidR="00AC7F8A" w:rsidRDefault="00AC7F8A" w:rsidP="00AC7F8A">
      <w:pPr>
        <w:pStyle w:val="ROMANOS"/>
        <w:spacing w:after="0" w:line="240" w:lineRule="exact"/>
        <w:rPr>
          <w:lang w:val="es-MX"/>
        </w:rPr>
      </w:pPr>
    </w:p>
    <w:p w14:paraId="620EF904" w14:textId="77777777" w:rsidR="00AC7F8A" w:rsidRDefault="00AC7F8A" w:rsidP="00AC7F8A">
      <w:pPr>
        <w:pStyle w:val="ROMANOS"/>
        <w:spacing w:after="0" w:line="240" w:lineRule="exact"/>
        <w:rPr>
          <w:lang w:val="es-MX"/>
        </w:rPr>
      </w:pPr>
    </w:p>
    <w:p w14:paraId="620EF906" w14:textId="6FDE9CB5" w:rsidR="00AC7F8A" w:rsidRDefault="0079784C" w:rsidP="00611646">
      <w:pPr>
        <w:pStyle w:val="ROMANOS"/>
        <w:spacing w:after="0" w:line="240" w:lineRule="exact"/>
        <w:ind w:left="708" w:firstLine="0"/>
      </w:pPr>
      <w:r w:rsidRPr="0079784C">
        <w:t>El rubro bienes intangibles se encuentra registrado a su valor de adquisición</w:t>
      </w:r>
      <w:r w:rsidR="00BA75F8">
        <w:t>, a la fecha no se han efectuado</w:t>
      </w:r>
      <w:r w:rsidR="00BD71CE">
        <w:t xml:space="preserve"> amortizaciones a los activos intangibles</w:t>
      </w:r>
      <w:r>
        <w:t>.</w:t>
      </w:r>
    </w:p>
    <w:p w14:paraId="0B60A6F5" w14:textId="15F1A9DF" w:rsidR="00BA75F8" w:rsidRDefault="00BA75F8" w:rsidP="00AC7F8A">
      <w:pPr>
        <w:autoSpaceDE w:val="0"/>
        <w:autoSpaceDN w:val="0"/>
        <w:adjustRightInd w:val="0"/>
        <w:spacing w:after="0" w:line="240" w:lineRule="auto"/>
        <w:ind w:firstLine="708"/>
        <w:rPr>
          <w:rFonts w:ascii="Arial" w:eastAsia="Times New Roman" w:hAnsi="Arial" w:cs="Arial"/>
          <w:sz w:val="18"/>
          <w:szCs w:val="18"/>
          <w:lang w:val="es-ES" w:eastAsia="es-ES"/>
        </w:rPr>
      </w:pPr>
    </w:p>
    <w:tbl>
      <w:tblPr>
        <w:tblStyle w:val="Tablaconcuadrcula"/>
        <w:tblW w:w="0" w:type="auto"/>
        <w:jc w:val="center"/>
        <w:tblLook w:val="04A0" w:firstRow="1" w:lastRow="0" w:firstColumn="1" w:lastColumn="0" w:noHBand="0" w:noVBand="1"/>
      </w:tblPr>
      <w:tblGrid>
        <w:gridCol w:w="4629"/>
        <w:gridCol w:w="1984"/>
      </w:tblGrid>
      <w:tr w:rsidR="00BA75F8" w:rsidRPr="00BD71CE" w14:paraId="14471AE8" w14:textId="77777777" w:rsidTr="00E54B7E">
        <w:trPr>
          <w:jc w:val="center"/>
        </w:trPr>
        <w:tc>
          <w:tcPr>
            <w:tcW w:w="4629" w:type="dxa"/>
            <w:noWrap/>
          </w:tcPr>
          <w:p w14:paraId="10F38BC6" w14:textId="77777777" w:rsidR="00BA75F8" w:rsidRPr="00BD71CE" w:rsidRDefault="00BA75F8" w:rsidP="00E54B7E">
            <w:pPr>
              <w:pStyle w:val="ROMANOS"/>
              <w:spacing w:after="0" w:line="240" w:lineRule="auto"/>
            </w:pPr>
            <w:r w:rsidRPr="00BD71CE">
              <w:t>CONCEPTO</w:t>
            </w:r>
          </w:p>
        </w:tc>
        <w:tc>
          <w:tcPr>
            <w:tcW w:w="1984" w:type="dxa"/>
            <w:noWrap/>
          </w:tcPr>
          <w:p w14:paraId="6A45D69C" w14:textId="77777777" w:rsidR="00BA75F8" w:rsidRPr="00BD71CE" w:rsidRDefault="00BA75F8" w:rsidP="00E54B7E">
            <w:pPr>
              <w:pStyle w:val="ROMANOS"/>
              <w:spacing w:after="0" w:line="240" w:lineRule="auto"/>
              <w:jc w:val="center"/>
            </w:pPr>
            <w:r w:rsidRPr="00BD71CE">
              <w:t>IMPORTE</w:t>
            </w:r>
          </w:p>
        </w:tc>
      </w:tr>
      <w:tr w:rsidR="00BA75F8" w:rsidRPr="00BD71CE" w14:paraId="77E7B60D" w14:textId="77777777" w:rsidTr="00E54B7E">
        <w:trPr>
          <w:jc w:val="center"/>
        </w:trPr>
        <w:tc>
          <w:tcPr>
            <w:tcW w:w="4629" w:type="dxa"/>
            <w:noWrap/>
          </w:tcPr>
          <w:p w14:paraId="293F2FF7" w14:textId="77777777" w:rsidR="00BA75F8" w:rsidRPr="00BD71CE" w:rsidRDefault="00BA75F8" w:rsidP="00E54B7E">
            <w:pPr>
              <w:pStyle w:val="ROMANOS"/>
              <w:spacing w:after="0" w:line="240" w:lineRule="auto"/>
              <w:rPr>
                <w:b/>
              </w:rPr>
            </w:pPr>
            <w:r w:rsidRPr="00BD71CE">
              <w:t>Software</w:t>
            </w:r>
          </w:p>
        </w:tc>
        <w:tc>
          <w:tcPr>
            <w:tcW w:w="1984" w:type="dxa"/>
            <w:noWrap/>
          </w:tcPr>
          <w:p w14:paraId="781FD2D2" w14:textId="2B6BF9B6" w:rsidR="00BA75F8" w:rsidRPr="00BD71CE" w:rsidRDefault="00BA75F8" w:rsidP="00E54B7E">
            <w:pPr>
              <w:jc w:val="right"/>
              <w:rPr>
                <w:rFonts w:ascii="Arial" w:hAnsi="Arial" w:cs="Arial"/>
                <w:color w:val="000000"/>
                <w:sz w:val="18"/>
                <w:szCs w:val="18"/>
              </w:rPr>
            </w:pPr>
            <w:r w:rsidRPr="00BD71CE">
              <w:rPr>
                <w:rFonts w:ascii="Arial" w:hAnsi="Arial" w:cs="Arial"/>
                <w:sz w:val="18"/>
                <w:szCs w:val="18"/>
              </w:rPr>
              <w:t xml:space="preserve">240,061.23 </w:t>
            </w:r>
          </w:p>
        </w:tc>
      </w:tr>
      <w:tr w:rsidR="00BA75F8" w:rsidRPr="00323DA4" w14:paraId="3E4DC02A" w14:textId="77777777" w:rsidTr="00E54B7E">
        <w:trPr>
          <w:jc w:val="center"/>
        </w:trPr>
        <w:tc>
          <w:tcPr>
            <w:tcW w:w="4629" w:type="dxa"/>
            <w:noWrap/>
          </w:tcPr>
          <w:p w14:paraId="0F4002FE" w14:textId="77777777" w:rsidR="00BA75F8" w:rsidRPr="00323DA4" w:rsidRDefault="00BA75F8" w:rsidP="00E54B7E">
            <w:pPr>
              <w:pStyle w:val="ROMANOS"/>
              <w:spacing w:after="0" w:line="240" w:lineRule="auto"/>
              <w:rPr>
                <w:b/>
              </w:rPr>
            </w:pPr>
            <w:r w:rsidRPr="00323DA4">
              <w:rPr>
                <w:b/>
              </w:rPr>
              <w:t>Suma</w:t>
            </w:r>
          </w:p>
        </w:tc>
        <w:tc>
          <w:tcPr>
            <w:tcW w:w="1984" w:type="dxa"/>
            <w:noWrap/>
          </w:tcPr>
          <w:p w14:paraId="25BF7DE7" w14:textId="05EE8B8B" w:rsidR="00BA75F8" w:rsidRPr="00323DA4" w:rsidRDefault="00BD71CE" w:rsidP="00E54B7E">
            <w:pPr>
              <w:jc w:val="right"/>
              <w:rPr>
                <w:rFonts w:ascii="Arial" w:hAnsi="Arial" w:cs="Arial"/>
                <w:b/>
                <w:color w:val="000000"/>
                <w:sz w:val="18"/>
                <w:szCs w:val="16"/>
              </w:rPr>
            </w:pPr>
            <w:r w:rsidRPr="00323DA4">
              <w:rPr>
                <w:rFonts w:ascii="Arial" w:hAnsi="Arial" w:cs="Arial"/>
                <w:b/>
                <w:color w:val="000000"/>
                <w:sz w:val="18"/>
                <w:szCs w:val="16"/>
              </w:rPr>
              <w:fldChar w:fldCharType="begin"/>
            </w:r>
            <w:r w:rsidRPr="00323DA4">
              <w:rPr>
                <w:rFonts w:ascii="Arial" w:hAnsi="Arial" w:cs="Arial"/>
                <w:b/>
                <w:color w:val="000000"/>
                <w:sz w:val="18"/>
                <w:szCs w:val="16"/>
              </w:rPr>
              <w:instrText xml:space="preserve"> =SUM(ABOVE) </w:instrText>
            </w:r>
            <w:r w:rsidRPr="00323DA4">
              <w:rPr>
                <w:rFonts w:ascii="Arial" w:hAnsi="Arial" w:cs="Arial"/>
                <w:b/>
                <w:color w:val="000000"/>
                <w:sz w:val="18"/>
                <w:szCs w:val="16"/>
              </w:rPr>
              <w:fldChar w:fldCharType="separate"/>
            </w:r>
            <w:r w:rsidRPr="00323DA4">
              <w:rPr>
                <w:rFonts w:ascii="Arial" w:hAnsi="Arial" w:cs="Arial"/>
                <w:b/>
                <w:noProof/>
                <w:color w:val="000000"/>
                <w:sz w:val="18"/>
                <w:szCs w:val="16"/>
              </w:rPr>
              <w:t>240,061.23</w:t>
            </w:r>
            <w:r w:rsidRPr="00323DA4">
              <w:rPr>
                <w:rFonts w:ascii="Arial" w:hAnsi="Arial" w:cs="Arial"/>
                <w:b/>
                <w:color w:val="000000"/>
                <w:sz w:val="18"/>
                <w:szCs w:val="16"/>
              </w:rPr>
              <w:fldChar w:fldCharType="end"/>
            </w:r>
          </w:p>
        </w:tc>
      </w:tr>
    </w:tbl>
    <w:p w14:paraId="730E9192" w14:textId="77777777" w:rsidR="00BA75F8" w:rsidRPr="00826EBE" w:rsidRDefault="00BA75F8" w:rsidP="00AC7F8A">
      <w:pPr>
        <w:autoSpaceDE w:val="0"/>
        <w:autoSpaceDN w:val="0"/>
        <w:adjustRightInd w:val="0"/>
        <w:spacing w:after="0" w:line="240" w:lineRule="auto"/>
        <w:ind w:firstLine="708"/>
        <w:rPr>
          <w:rFonts w:ascii="Arial" w:eastAsia="Times New Roman" w:hAnsi="Arial" w:cs="Arial"/>
          <w:sz w:val="18"/>
          <w:szCs w:val="18"/>
          <w:lang w:val="es-ES" w:eastAsia="es-ES"/>
        </w:rPr>
      </w:pPr>
    </w:p>
    <w:p w14:paraId="620EF907" w14:textId="77777777" w:rsidR="00AC7F8A" w:rsidRDefault="00AC7F8A" w:rsidP="00AC7F8A">
      <w:pPr>
        <w:pStyle w:val="ROMANOS"/>
        <w:spacing w:after="0" w:line="240" w:lineRule="exact"/>
        <w:rPr>
          <w:lang w:val="es-MX"/>
        </w:rPr>
      </w:pPr>
    </w:p>
    <w:p w14:paraId="620EF908" w14:textId="77777777" w:rsidR="00AC7F8A" w:rsidRPr="00630DB0" w:rsidRDefault="00AC7F8A" w:rsidP="00AC7F8A">
      <w:pPr>
        <w:pStyle w:val="ROMANOS"/>
        <w:spacing w:after="0" w:line="240" w:lineRule="exact"/>
        <w:rPr>
          <w:lang w:val="es-MX"/>
        </w:rPr>
      </w:pPr>
    </w:p>
    <w:p w14:paraId="620EF909" w14:textId="77777777" w:rsidR="00AC7F8A" w:rsidRPr="00630DB0" w:rsidRDefault="00AC7F8A" w:rsidP="00AC7F8A">
      <w:pPr>
        <w:pStyle w:val="ROMANOS"/>
        <w:spacing w:after="0" w:line="240" w:lineRule="exact"/>
        <w:rPr>
          <w:b/>
          <w:lang w:val="es-MX"/>
        </w:rPr>
      </w:pPr>
      <w:r w:rsidRPr="00630DB0">
        <w:rPr>
          <w:b/>
          <w:lang w:val="es-MX"/>
        </w:rPr>
        <w:tab/>
        <w:t>Estimaciones y Deterioros</w:t>
      </w:r>
    </w:p>
    <w:p w14:paraId="620EF90A" w14:textId="3177E94B" w:rsidR="00AC7F8A" w:rsidRPr="00630DB0" w:rsidRDefault="00AC7F8A" w:rsidP="00AC7F8A">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n</w:t>
      </w:r>
      <w:r w:rsidRPr="00C8597B">
        <w:rPr>
          <w:lang w:val="es-MX"/>
        </w:rPr>
        <w:t>o ha efectuado estimaciones y no se han reconoci</w:t>
      </w:r>
      <w:r w:rsidR="006F79A6">
        <w:rPr>
          <w:lang w:val="es-MX"/>
        </w:rPr>
        <w:t>d</w:t>
      </w:r>
      <w:r w:rsidRPr="00C8597B">
        <w:rPr>
          <w:lang w:val="es-MX"/>
        </w:rPr>
        <w:t>o</w:t>
      </w:r>
      <w:r w:rsidR="006F79A6">
        <w:rPr>
          <w:lang w:val="es-MX"/>
        </w:rPr>
        <w:t xml:space="preserve"> </w:t>
      </w:r>
      <w:r w:rsidRPr="00C8597B">
        <w:rPr>
          <w:lang w:val="es-MX"/>
        </w:rPr>
        <w:t xml:space="preserve">deterioros de los activos durante el </w:t>
      </w:r>
      <w:r w:rsidR="004431B3">
        <w:rPr>
          <w:lang w:val="es-MX"/>
        </w:rPr>
        <w:t>periodo que se presenta</w:t>
      </w:r>
      <w:r w:rsidRPr="00C8597B">
        <w:rPr>
          <w:lang w:val="es-MX"/>
        </w:rPr>
        <w:t>.</w:t>
      </w:r>
    </w:p>
    <w:p w14:paraId="620EF90B" w14:textId="603D9D4A" w:rsidR="00AC7F8A" w:rsidRDefault="00AC7F8A" w:rsidP="00AC7F8A">
      <w:pPr>
        <w:pStyle w:val="ROMANOS"/>
        <w:spacing w:after="0" w:line="240" w:lineRule="exact"/>
        <w:rPr>
          <w:lang w:val="es-MX"/>
        </w:rPr>
      </w:pPr>
    </w:p>
    <w:p w14:paraId="36C7FED1" w14:textId="77777777" w:rsidR="006F79A6" w:rsidRDefault="006F79A6" w:rsidP="00AC7F8A">
      <w:pPr>
        <w:pStyle w:val="ROMANOS"/>
        <w:spacing w:after="0" w:line="240" w:lineRule="exact"/>
        <w:rPr>
          <w:lang w:val="es-MX"/>
        </w:rPr>
      </w:pPr>
    </w:p>
    <w:p w14:paraId="620EF90C" w14:textId="77777777" w:rsidR="00AC7F8A" w:rsidRPr="00630DB0" w:rsidRDefault="00AC7F8A" w:rsidP="00AC7F8A">
      <w:pPr>
        <w:pStyle w:val="ROMANOS"/>
        <w:spacing w:after="0" w:line="240" w:lineRule="exact"/>
        <w:rPr>
          <w:lang w:val="es-MX"/>
        </w:rPr>
      </w:pPr>
    </w:p>
    <w:p w14:paraId="620EF90D" w14:textId="77777777" w:rsidR="00AC7F8A" w:rsidRPr="00630DB0" w:rsidRDefault="00AC7F8A" w:rsidP="00AC7F8A">
      <w:pPr>
        <w:pStyle w:val="ROMANOS"/>
        <w:spacing w:after="0" w:line="240" w:lineRule="exact"/>
        <w:rPr>
          <w:b/>
          <w:lang w:val="es-MX"/>
        </w:rPr>
      </w:pPr>
      <w:r w:rsidRPr="00630DB0">
        <w:rPr>
          <w:b/>
          <w:lang w:val="es-MX"/>
        </w:rPr>
        <w:lastRenderedPageBreak/>
        <w:tab/>
        <w:t>Otros Activos</w:t>
      </w:r>
    </w:p>
    <w:p w14:paraId="620EF90E" w14:textId="567A4FC1" w:rsidR="00AC7F8A" w:rsidRPr="00630DB0" w:rsidRDefault="00AC7F8A" w:rsidP="00AC7F8A">
      <w:pPr>
        <w:pStyle w:val="ROMANOS"/>
        <w:spacing w:after="0" w:line="240" w:lineRule="exact"/>
        <w:rPr>
          <w:lang w:val="es-MX"/>
        </w:rPr>
      </w:pPr>
      <w:r>
        <w:rPr>
          <w:lang w:val="es-MX"/>
        </w:rPr>
        <w:tab/>
        <w:t>Al cierre del periodo que se informa</w:t>
      </w:r>
      <w:r w:rsidR="00417393">
        <w:rPr>
          <w:lang w:val="es-MX"/>
        </w:rPr>
        <w:t>,</w:t>
      </w:r>
      <w:r>
        <w:rPr>
          <w:lang w:val="es-MX"/>
        </w:rPr>
        <w:t xml:space="preserve"> la </w:t>
      </w:r>
      <w:r w:rsidRPr="002B3AF4">
        <w:t>Secretar</w:t>
      </w:r>
      <w:r>
        <w:t>ía</w:t>
      </w:r>
      <w:r w:rsidRPr="002B3AF4">
        <w:t xml:space="preserve"> de Salud y O.P.D. Salud de Tlaxcala</w:t>
      </w:r>
      <w:r w:rsidRPr="002B3AF4">
        <w:rPr>
          <w:lang w:val="es-MX"/>
        </w:rPr>
        <w:t xml:space="preserve"> </w:t>
      </w:r>
      <w:r>
        <w:rPr>
          <w:lang w:val="es-MX"/>
        </w:rPr>
        <w:t>n</w:t>
      </w:r>
      <w:r w:rsidRPr="00630DB0">
        <w:rPr>
          <w:lang w:val="es-MX"/>
        </w:rPr>
        <w:t xml:space="preserve">o </w:t>
      </w:r>
      <w:r w:rsidR="00032F70">
        <w:rPr>
          <w:lang w:val="es-MX"/>
        </w:rPr>
        <w:t>tiene</w:t>
      </w:r>
      <w:r w:rsidRPr="00630DB0">
        <w:rPr>
          <w:lang w:val="es-MX"/>
        </w:rPr>
        <w:t xml:space="preserve"> cuentas de otros activos.</w:t>
      </w:r>
    </w:p>
    <w:p w14:paraId="620EF912" w14:textId="77777777" w:rsidR="00AC7F8A" w:rsidRDefault="00AC7F8A" w:rsidP="00AC7F8A">
      <w:pPr>
        <w:pStyle w:val="ROMANOS"/>
        <w:spacing w:after="0" w:line="240" w:lineRule="exact"/>
        <w:rPr>
          <w:lang w:val="es-MX"/>
        </w:rPr>
      </w:pPr>
    </w:p>
    <w:p w14:paraId="0304B2A3" w14:textId="77777777" w:rsidR="002E5ED2" w:rsidRPr="00630DB0" w:rsidRDefault="002E5ED2" w:rsidP="00AC7F8A">
      <w:pPr>
        <w:pStyle w:val="ROMANOS"/>
        <w:spacing w:after="0" w:line="240" w:lineRule="exact"/>
        <w:rPr>
          <w:lang w:val="es-MX"/>
        </w:rPr>
      </w:pPr>
    </w:p>
    <w:p w14:paraId="620EF913" w14:textId="77777777" w:rsidR="00AC7F8A" w:rsidRPr="00630DB0" w:rsidRDefault="00AC7F8A" w:rsidP="00AC7F8A">
      <w:pPr>
        <w:pStyle w:val="ROMANOS"/>
        <w:spacing w:after="0" w:line="240" w:lineRule="exact"/>
        <w:ind w:left="432"/>
        <w:rPr>
          <w:b/>
          <w:lang w:val="es-MX"/>
        </w:rPr>
      </w:pPr>
      <w:r w:rsidRPr="00630DB0">
        <w:rPr>
          <w:b/>
          <w:lang w:val="es-MX"/>
        </w:rPr>
        <w:tab/>
      </w:r>
      <w:r w:rsidRPr="00630DB0">
        <w:rPr>
          <w:b/>
          <w:lang w:val="es-MX"/>
        </w:rPr>
        <w:tab/>
        <w:t>Pasivo</w:t>
      </w:r>
    </w:p>
    <w:p w14:paraId="620EF914" w14:textId="77777777" w:rsidR="00AC7F8A" w:rsidRDefault="00AC7F8A" w:rsidP="00AC7F8A">
      <w:pPr>
        <w:pStyle w:val="ROMANOS"/>
        <w:spacing w:after="0" w:line="240" w:lineRule="exact"/>
        <w:ind w:left="723" w:firstLine="0"/>
      </w:pPr>
      <w:r w:rsidRPr="0073056A">
        <w:t xml:space="preserve">Son las obligaciones presentes de </w:t>
      </w:r>
      <w:r>
        <w:rPr>
          <w:lang w:val="es-MX"/>
        </w:rPr>
        <w:t xml:space="preserve">la </w:t>
      </w:r>
      <w:r w:rsidRPr="002B3AF4">
        <w:t>Secretar</w:t>
      </w:r>
      <w:r>
        <w:t>ía</w:t>
      </w:r>
      <w:r w:rsidRPr="002B3AF4">
        <w:t xml:space="preserve"> de Salud y O.P.D. Salud de Tlaxcala</w:t>
      </w:r>
      <w:r w:rsidRPr="0073056A">
        <w:t>, ineludibles, identificadas, cuantificadas monetariamente y que representan una disminución futura de beneficios económicos, derivadas de operaciones acontecidas en el pasado que le han afectado económicamente</w:t>
      </w:r>
      <w:r>
        <w:t>.</w:t>
      </w:r>
    </w:p>
    <w:p w14:paraId="620EF915" w14:textId="77777777" w:rsidR="00AC7F8A" w:rsidRDefault="00AC7F8A" w:rsidP="00AC7F8A">
      <w:pPr>
        <w:pStyle w:val="ROMANOS"/>
        <w:spacing w:after="0" w:line="240" w:lineRule="exact"/>
        <w:ind w:left="723" w:firstLine="0"/>
      </w:pPr>
    </w:p>
    <w:p w14:paraId="620EF916" w14:textId="7C443B42" w:rsidR="00AC7F8A" w:rsidRPr="00630DB0" w:rsidRDefault="00AC7F8A" w:rsidP="00AC7F8A">
      <w:pPr>
        <w:pStyle w:val="ROMANOS"/>
        <w:spacing w:after="0" w:line="240" w:lineRule="exact"/>
        <w:ind w:left="723" w:firstLine="0"/>
        <w:rPr>
          <w:lang w:val="es-MX"/>
        </w:rPr>
      </w:pPr>
      <w:r>
        <w:rPr>
          <w:lang w:val="es-MX"/>
        </w:rPr>
        <w:t xml:space="preserve">Dentro de </w:t>
      </w:r>
      <w:r w:rsidRPr="00630DB0">
        <w:rPr>
          <w:lang w:val="es-MX"/>
        </w:rPr>
        <w:t xml:space="preserve">los adeudos que </w:t>
      </w:r>
      <w:r w:rsidR="00915012">
        <w:rPr>
          <w:lang w:val="es-MX"/>
        </w:rPr>
        <w:t>este</w:t>
      </w:r>
      <w:r>
        <w:rPr>
          <w:lang w:val="es-MX"/>
        </w:rPr>
        <w:t xml:space="preserve"> Organismo reconoce </w:t>
      </w:r>
      <w:r w:rsidRPr="00630DB0">
        <w:rPr>
          <w:lang w:val="es-MX"/>
        </w:rPr>
        <w:t xml:space="preserve">se </w:t>
      </w:r>
      <w:r>
        <w:rPr>
          <w:lang w:val="es-MX"/>
        </w:rPr>
        <w:t>encuentran obligaciones</w:t>
      </w:r>
      <w:r w:rsidRPr="00630DB0">
        <w:rPr>
          <w:lang w:val="es-MX"/>
        </w:rPr>
        <w:t xml:space="preserve"> con proveedores de bienes y servicios, retenciones de Impuesto </w:t>
      </w:r>
      <w:r>
        <w:rPr>
          <w:lang w:val="es-MX"/>
        </w:rPr>
        <w:t>S</w:t>
      </w:r>
      <w:r w:rsidRPr="00630DB0">
        <w:rPr>
          <w:lang w:val="es-MX"/>
        </w:rPr>
        <w:t xml:space="preserve">obre la </w:t>
      </w:r>
      <w:r>
        <w:rPr>
          <w:lang w:val="es-MX"/>
        </w:rPr>
        <w:t>R</w:t>
      </w:r>
      <w:r w:rsidRPr="00630DB0">
        <w:rPr>
          <w:lang w:val="es-MX"/>
        </w:rPr>
        <w:t xml:space="preserve">enta y </w:t>
      </w:r>
      <w:r>
        <w:rPr>
          <w:lang w:val="es-MX"/>
        </w:rPr>
        <w:t xml:space="preserve">otras </w:t>
      </w:r>
      <w:r w:rsidRPr="00630DB0">
        <w:rPr>
          <w:lang w:val="es-MX"/>
        </w:rPr>
        <w:t xml:space="preserve">retenciones a los </w:t>
      </w:r>
      <w:r w:rsidR="00032F70" w:rsidRPr="00630DB0">
        <w:rPr>
          <w:lang w:val="es-MX"/>
        </w:rPr>
        <w:t xml:space="preserve">trabajadores </w:t>
      </w:r>
      <w:r w:rsidRPr="00630DB0">
        <w:rPr>
          <w:lang w:val="es-MX"/>
        </w:rPr>
        <w:t>de Salud de Tlaxcala</w:t>
      </w:r>
      <w:r>
        <w:rPr>
          <w:lang w:val="es-MX"/>
        </w:rPr>
        <w:t xml:space="preserve">, </w:t>
      </w:r>
      <w:r>
        <w:t xml:space="preserve">mismas </w:t>
      </w:r>
      <w:r w:rsidRPr="001528B7">
        <w:t xml:space="preserve">que se enteran en el mes inmediato posterior </w:t>
      </w:r>
      <w:r w:rsidR="006378D4">
        <w:t>según</w:t>
      </w:r>
      <w:r w:rsidRPr="001528B7">
        <w:t xml:space="preserve"> los plazos establecidos en las disposiciones legales aplicables.</w:t>
      </w:r>
    </w:p>
    <w:p w14:paraId="620EF917" w14:textId="77777777" w:rsidR="00AC7F8A" w:rsidRDefault="00AC7F8A" w:rsidP="00AC7F8A">
      <w:pPr>
        <w:pStyle w:val="ROMANOS"/>
        <w:spacing w:after="0" w:line="240" w:lineRule="exact"/>
        <w:ind w:left="723" w:firstLine="0"/>
        <w:rPr>
          <w:lang w:val="es-MX"/>
        </w:rPr>
      </w:pPr>
    </w:p>
    <w:p w14:paraId="620EF918" w14:textId="77777777" w:rsidR="00AC7F8A" w:rsidRDefault="00AC7F8A" w:rsidP="00AC7F8A">
      <w:pPr>
        <w:pStyle w:val="ROMANOS"/>
        <w:spacing w:after="0" w:line="240" w:lineRule="exact"/>
        <w:ind w:left="723" w:firstLine="0"/>
        <w:rPr>
          <w:lang w:val="es-MX"/>
        </w:rPr>
      </w:pPr>
    </w:p>
    <w:tbl>
      <w:tblPr>
        <w:tblStyle w:val="Tablaconcuadrcula"/>
        <w:tblW w:w="6729" w:type="dxa"/>
        <w:jc w:val="center"/>
        <w:tblLook w:val="04A0" w:firstRow="1" w:lastRow="0" w:firstColumn="1" w:lastColumn="0" w:noHBand="0" w:noVBand="1"/>
      </w:tblPr>
      <w:tblGrid>
        <w:gridCol w:w="5121"/>
        <w:gridCol w:w="1608"/>
      </w:tblGrid>
      <w:tr w:rsidR="0046745F" w:rsidRPr="0046745F" w14:paraId="620EF91C" w14:textId="77777777" w:rsidTr="0046745F">
        <w:trPr>
          <w:trHeight w:val="227"/>
          <w:jc w:val="center"/>
        </w:trPr>
        <w:tc>
          <w:tcPr>
            <w:tcW w:w="5121" w:type="dxa"/>
            <w:noWrap/>
          </w:tcPr>
          <w:p w14:paraId="620EF919" w14:textId="77777777" w:rsidR="0046745F" w:rsidRPr="0046745F" w:rsidRDefault="0046745F" w:rsidP="00AD6257">
            <w:pPr>
              <w:jc w:val="center"/>
              <w:rPr>
                <w:rFonts w:ascii="Arial" w:eastAsia="Times New Roman" w:hAnsi="Arial" w:cs="Arial"/>
                <w:sz w:val="18"/>
                <w:szCs w:val="20"/>
                <w:lang w:eastAsia="es-ES"/>
              </w:rPr>
            </w:pPr>
            <w:r w:rsidRPr="0046745F">
              <w:rPr>
                <w:rFonts w:ascii="Arial" w:eastAsia="Times New Roman" w:hAnsi="Arial" w:cs="Arial"/>
                <w:sz w:val="18"/>
                <w:szCs w:val="20"/>
                <w:lang w:eastAsia="es-ES"/>
              </w:rPr>
              <w:t>CONCEPTO</w:t>
            </w:r>
          </w:p>
        </w:tc>
        <w:tc>
          <w:tcPr>
            <w:tcW w:w="1608" w:type="dxa"/>
            <w:noWrap/>
          </w:tcPr>
          <w:p w14:paraId="620EF91A" w14:textId="77777777" w:rsidR="0046745F" w:rsidRPr="0046745F" w:rsidRDefault="0046745F" w:rsidP="00AD6257">
            <w:pPr>
              <w:jc w:val="center"/>
              <w:rPr>
                <w:rFonts w:ascii="Arial" w:eastAsia="Times New Roman" w:hAnsi="Arial" w:cs="Arial"/>
                <w:sz w:val="18"/>
                <w:szCs w:val="20"/>
                <w:lang w:eastAsia="es-ES"/>
              </w:rPr>
            </w:pPr>
            <w:r w:rsidRPr="0046745F">
              <w:rPr>
                <w:rFonts w:ascii="Arial" w:eastAsia="Times New Roman" w:hAnsi="Arial" w:cs="Arial"/>
                <w:sz w:val="18"/>
                <w:szCs w:val="20"/>
                <w:lang w:eastAsia="es-ES"/>
              </w:rPr>
              <w:t>IMPORTE</w:t>
            </w:r>
          </w:p>
        </w:tc>
      </w:tr>
      <w:tr w:rsidR="00EB6F6B" w:rsidRPr="0046745F" w14:paraId="620EF920" w14:textId="77777777" w:rsidTr="0011163A">
        <w:trPr>
          <w:trHeight w:val="227"/>
          <w:jc w:val="center"/>
        </w:trPr>
        <w:tc>
          <w:tcPr>
            <w:tcW w:w="5121" w:type="dxa"/>
            <w:noWrap/>
            <w:hideMark/>
          </w:tcPr>
          <w:p w14:paraId="620EF91D" w14:textId="282696E8"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Servicios personales por pagar a corto plazo</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EF91E" w14:textId="39A87498" w:rsidR="00EB6F6B" w:rsidRPr="00F35D1D" w:rsidRDefault="00EB6F6B" w:rsidP="00EB6F6B">
            <w:pPr>
              <w:jc w:val="right"/>
              <w:rPr>
                <w:rFonts w:ascii="Arial" w:hAnsi="Arial" w:cs="Arial"/>
                <w:noProof/>
                <w:sz w:val="18"/>
                <w:szCs w:val="18"/>
              </w:rPr>
            </w:pPr>
            <w:r w:rsidRPr="00F35D1D">
              <w:rPr>
                <w:rFonts w:ascii="Arial" w:hAnsi="Arial" w:cs="Arial"/>
                <w:noProof/>
                <w:sz w:val="18"/>
                <w:szCs w:val="18"/>
              </w:rPr>
              <w:t>45,490,725.52</w:t>
            </w:r>
          </w:p>
        </w:tc>
      </w:tr>
      <w:tr w:rsidR="00EB6F6B" w:rsidRPr="0046745F" w14:paraId="620EF924" w14:textId="77777777" w:rsidTr="0011163A">
        <w:trPr>
          <w:trHeight w:val="227"/>
          <w:jc w:val="center"/>
        </w:trPr>
        <w:tc>
          <w:tcPr>
            <w:tcW w:w="5121" w:type="dxa"/>
            <w:noWrap/>
          </w:tcPr>
          <w:p w14:paraId="620EF921" w14:textId="0D800C8F"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Proveedores por pagar a corto plazo</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620EF922" w14:textId="715D3024" w:rsidR="00EB6F6B" w:rsidRPr="003428E7" w:rsidRDefault="00EB6F6B" w:rsidP="00EB6F6B">
            <w:pPr>
              <w:jc w:val="right"/>
              <w:rPr>
                <w:rFonts w:ascii="Arial" w:hAnsi="Arial" w:cs="Arial"/>
                <w:noProof/>
                <w:sz w:val="18"/>
                <w:szCs w:val="18"/>
              </w:rPr>
            </w:pPr>
            <w:r w:rsidRPr="00F35D1D">
              <w:rPr>
                <w:rFonts w:ascii="Arial" w:hAnsi="Arial" w:cs="Arial"/>
                <w:noProof/>
                <w:sz w:val="18"/>
                <w:szCs w:val="18"/>
              </w:rPr>
              <w:t>217,376,668.35</w:t>
            </w:r>
          </w:p>
        </w:tc>
      </w:tr>
      <w:tr w:rsidR="00611646" w:rsidRPr="0046745F" w14:paraId="620EF928" w14:textId="77777777" w:rsidTr="0011163A">
        <w:trPr>
          <w:trHeight w:val="227"/>
          <w:jc w:val="center"/>
        </w:trPr>
        <w:tc>
          <w:tcPr>
            <w:tcW w:w="5121" w:type="dxa"/>
            <w:noWrap/>
          </w:tcPr>
          <w:p w14:paraId="620EF925" w14:textId="0C417F36" w:rsidR="00611646" w:rsidRPr="0046745F" w:rsidRDefault="00611646" w:rsidP="00611646">
            <w:pPr>
              <w:rPr>
                <w:rFonts w:ascii="Arial" w:eastAsia="Times New Roman" w:hAnsi="Arial" w:cs="Arial"/>
                <w:sz w:val="18"/>
                <w:szCs w:val="18"/>
                <w:lang w:eastAsia="es-ES"/>
              </w:rPr>
            </w:pPr>
            <w:r w:rsidRPr="0046745F">
              <w:rPr>
                <w:rFonts w:ascii="Arial" w:hAnsi="Arial" w:cs="Arial"/>
                <w:color w:val="000000"/>
                <w:sz w:val="18"/>
                <w:szCs w:val="18"/>
              </w:rPr>
              <w:t>Contratistas por obras públicas por pagar a corto plazo</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620EF926" w14:textId="3441E617" w:rsidR="00611646" w:rsidRPr="0046745F" w:rsidRDefault="00F35D1D" w:rsidP="00611646">
            <w:pPr>
              <w:jc w:val="right"/>
              <w:rPr>
                <w:rFonts w:ascii="Arial" w:hAnsi="Arial" w:cs="Arial"/>
                <w:noProof/>
                <w:sz w:val="18"/>
                <w:szCs w:val="18"/>
              </w:rPr>
            </w:pPr>
            <w:r w:rsidRPr="00F35D1D">
              <w:rPr>
                <w:rFonts w:ascii="Arial" w:hAnsi="Arial" w:cs="Arial"/>
                <w:noProof/>
                <w:sz w:val="18"/>
                <w:szCs w:val="18"/>
              </w:rPr>
              <w:t>7,668,181.30</w:t>
            </w:r>
          </w:p>
        </w:tc>
      </w:tr>
      <w:tr w:rsidR="00EB6F6B" w:rsidRPr="0046745F" w14:paraId="620EF92C" w14:textId="77777777" w:rsidTr="0011163A">
        <w:trPr>
          <w:trHeight w:val="227"/>
          <w:jc w:val="center"/>
        </w:trPr>
        <w:tc>
          <w:tcPr>
            <w:tcW w:w="5121" w:type="dxa"/>
            <w:noWrap/>
          </w:tcPr>
          <w:p w14:paraId="620EF929" w14:textId="297E1AA0"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Transferencias otorgadas por pagar a corto plazo</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620EF92A" w14:textId="3729C41A"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88,900.00</w:t>
            </w:r>
          </w:p>
        </w:tc>
      </w:tr>
      <w:tr w:rsidR="00EB6F6B" w:rsidRPr="0046745F" w14:paraId="620EF930" w14:textId="77777777" w:rsidTr="0011163A">
        <w:trPr>
          <w:trHeight w:val="227"/>
          <w:jc w:val="center"/>
        </w:trPr>
        <w:tc>
          <w:tcPr>
            <w:tcW w:w="5121" w:type="dxa"/>
            <w:noWrap/>
          </w:tcPr>
          <w:p w14:paraId="620EF92D" w14:textId="07B3CD33"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Retenciones y contribuciones por pagar a corto plazo</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620EF92E" w14:textId="4BB303F6"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61,814,299.53</w:t>
            </w:r>
          </w:p>
        </w:tc>
      </w:tr>
      <w:tr w:rsidR="00EB6F6B" w:rsidRPr="0046745F" w14:paraId="620EF934" w14:textId="77777777" w:rsidTr="0011163A">
        <w:trPr>
          <w:trHeight w:val="227"/>
          <w:jc w:val="center"/>
        </w:trPr>
        <w:tc>
          <w:tcPr>
            <w:tcW w:w="5121" w:type="dxa"/>
            <w:noWrap/>
          </w:tcPr>
          <w:p w14:paraId="620EF931" w14:textId="25A61DAF"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Devoluciones de la ley de ingresos por pagar a corto plazo</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620EF932" w14:textId="345D2A0E"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181,170.68</w:t>
            </w:r>
          </w:p>
        </w:tc>
      </w:tr>
      <w:tr w:rsidR="00EB6F6B" w:rsidRPr="0046745F" w14:paraId="620EF938" w14:textId="77777777" w:rsidTr="0011163A">
        <w:trPr>
          <w:trHeight w:val="227"/>
          <w:jc w:val="center"/>
        </w:trPr>
        <w:tc>
          <w:tcPr>
            <w:tcW w:w="5121" w:type="dxa"/>
            <w:noWrap/>
          </w:tcPr>
          <w:p w14:paraId="620EF935" w14:textId="0057B9FE"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Otras cuentas por pagar a corto plazo</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620EF936" w14:textId="6098B1F4"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2,792,932.32</w:t>
            </w:r>
          </w:p>
        </w:tc>
      </w:tr>
      <w:tr w:rsidR="00EB6F6B" w:rsidRPr="0046745F" w14:paraId="620EF93C" w14:textId="77777777" w:rsidTr="00546D3F">
        <w:trPr>
          <w:trHeight w:val="227"/>
          <w:jc w:val="center"/>
        </w:trPr>
        <w:tc>
          <w:tcPr>
            <w:tcW w:w="5121" w:type="dxa"/>
            <w:noWrap/>
          </w:tcPr>
          <w:p w14:paraId="620EF939" w14:textId="2B127CB5"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Otras provisiones a corto plazo</w:t>
            </w:r>
          </w:p>
        </w:tc>
        <w:tc>
          <w:tcPr>
            <w:tcW w:w="1608" w:type="dxa"/>
            <w:noWrap/>
            <w:vAlign w:val="bottom"/>
          </w:tcPr>
          <w:p w14:paraId="620EF93A" w14:textId="38627254"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18,159,799.89</w:t>
            </w:r>
          </w:p>
        </w:tc>
      </w:tr>
      <w:tr w:rsidR="00EB6F6B" w:rsidRPr="0046745F" w14:paraId="620EF940" w14:textId="77777777" w:rsidTr="0011163A">
        <w:trPr>
          <w:trHeight w:val="227"/>
          <w:jc w:val="center"/>
        </w:trPr>
        <w:tc>
          <w:tcPr>
            <w:tcW w:w="5121" w:type="dxa"/>
            <w:noWrap/>
          </w:tcPr>
          <w:p w14:paraId="620EF93D" w14:textId="6737A17E"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Ingresos por clasificar</w:t>
            </w:r>
            <w:r>
              <w:rPr>
                <w:rFonts w:ascii="Arial" w:hAnsi="Arial" w:cs="Arial"/>
                <w:color w:val="000000"/>
                <w:sz w:val="18"/>
                <w:szCs w:val="18"/>
              </w:rPr>
              <w:t xml:space="preserve"> de otros ejercicios</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EF93E" w14:textId="5DA1D94D"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3,742,206.53</w:t>
            </w:r>
          </w:p>
        </w:tc>
      </w:tr>
      <w:tr w:rsidR="00EB6F6B" w:rsidRPr="0046745F" w14:paraId="0D2C8E7D" w14:textId="77777777" w:rsidTr="0011163A">
        <w:trPr>
          <w:trHeight w:val="227"/>
          <w:jc w:val="center"/>
        </w:trPr>
        <w:tc>
          <w:tcPr>
            <w:tcW w:w="5121" w:type="dxa"/>
            <w:noWrap/>
          </w:tcPr>
          <w:p w14:paraId="6F55B187" w14:textId="59E7A9CF" w:rsidR="00EB6F6B" w:rsidRPr="0046745F" w:rsidRDefault="00EB6F6B" w:rsidP="00EB6F6B">
            <w:pPr>
              <w:rPr>
                <w:rFonts w:ascii="Arial" w:eastAsia="Times New Roman" w:hAnsi="Arial" w:cs="Arial"/>
                <w:sz w:val="18"/>
                <w:szCs w:val="18"/>
                <w:lang w:eastAsia="es-ES"/>
              </w:rPr>
            </w:pPr>
            <w:r w:rsidRPr="0046745F">
              <w:rPr>
                <w:rFonts w:ascii="Arial" w:hAnsi="Arial" w:cs="Arial"/>
                <w:color w:val="000000"/>
                <w:sz w:val="18"/>
                <w:szCs w:val="18"/>
              </w:rPr>
              <w:t>Otros pasivos circulantes</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45887C68" w14:textId="7A5E5118" w:rsidR="00EB6F6B" w:rsidRPr="0046745F" w:rsidRDefault="00EB6F6B" w:rsidP="00EB6F6B">
            <w:pPr>
              <w:jc w:val="right"/>
              <w:rPr>
                <w:rFonts w:ascii="Arial" w:hAnsi="Arial" w:cs="Arial"/>
                <w:noProof/>
                <w:sz w:val="18"/>
                <w:szCs w:val="18"/>
              </w:rPr>
            </w:pPr>
            <w:r w:rsidRPr="00F35D1D">
              <w:rPr>
                <w:rFonts w:ascii="Arial" w:hAnsi="Arial" w:cs="Arial"/>
                <w:noProof/>
                <w:sz w:val="18"/>
                <w:szCs w:val="18"/>
              </w:rPr>
              <w:t>821,625.05</w:t>
            </w:r>
          </w:p>
        </w:tc>
      </w:tr>
      <w:tr w:rsidR="00611646" w:rsidRPr="00323DA4" w14:paraId="620EF944" w14:textId="77777777" w:rsidTr="0046745F">
        <w:trPr>
          <w:trHeight w:val="227"/>
          <w:jc w:val="center"/>
        </w:trPr>
        <w:tc>
          <w:tcPr>
            <w:tcW w:w="5121" w:type="dxa"/>
            <w:noWrap/>
          </w:tcPr>
          <w:p w14:paraId="620EF941" w14:textId="21067149" w:rsidR="00611646" w:rsidRPr="00323DA4" w:rsidRDefault="00323DA4" w:rsidP="00611646">
            <w:pPr>
              <w:rPr>
                <w:rFonts w:ascii="Arial" w:eastAsia="Times New Roman" w:hAnsi="Arial" w:cs="Arial"/>
                <w:b/>
                <w:sz w:val="18"/>
                <w:szCs w:val="20"/>
                <w:lang w:eastAsia="es-ES"/>
              </w:rPr>
            </w:pPr>
            <w:r w:rsidRPr="00323DA4">
              <w:rPr>
                <w:rFonts w:ascii="Arial" w:eastAsia="Times New Roman" w:hAnsi="Arial" w:cs="Arial"/>
                <w:b/>
                <w:sz w:val="20"/>
                <w:szCs w:val="20"/>
                <w:lang w:eastAsia="es-ES"/>
              </w:rPr>
              <w:t>Suma</w:t>
            </w:r>
          </w:p>
        </w:tc>
        <w:tc>
          <w:tcPr>
            <w:tcW w:w="1608" w:type="dxa"/>
            <w:noWrap/>
          </w:tcPr>
          <w:p w14:paraId="620EF942" w14:textId="51693F8E" w:rsidR="00611646" w:rsidRPr="00323DA4" w:rsidRDefault="00F35D1D" w:rsidP="00611646">
            <w:pPr>
              <w:jc w:val="right"/>
              <w:rPr>
                <w:rFonts w:ascii="Arial" w:hAnsi="Arial" w:cs="Arial"/>
                <w:b/>
                <w:sz w:val="18"/>
                <w:szCs w:val="18"/>
              </w:rPr>
            </w:pPr>
            <w:r w:rsidRPr="00323DA4">
              <w:rPr>
                <w:rFonts w:ascii="Arial" w:hAnsi="Arial" w:cs="Arial"/>
                <w:b/>
                <w:sz w:val="18"/>
                <w:szCs w:val="18"/>
              </w:rPr>
              <w:fldChar w:fldCharType="begin"/>
            </w:r>
            <w:r w:rsidRPr="00323DA4">
              <w:rPr>
                <w:rFonts w:ascii="Arial" w:hAnsi="Arial" w:cs="Arial"/>
                <w:b/>
                <w:sz w:val="18"/>
                <w:szCs w:val="18"/>
              </w:rPr>
              <w:instrText xml:space="preserve"> =SUM(ABOVE) </w:instrText>
            </w:r>
            <w:r w:rsidRPr="00323DA4">
              <w:rPr>
                <w:rFonts w:ascii="Arial" w:hAnsi="Arial" w:cs="Arial"/>
                <w:b/>
                <w:sz w:val="18"/>
                <w:szCs w:val="18"/>
              </w:rPr>
              <w:fldChar w:fldCharType="separate"/>
            </w:r>
            <w:r w:rsidRPr="00323DA4">
              <w:rPr>
                <w:rFonts w:ascii="Arial" w:hAnsi="Arial" w:cs="Arial"/>
                <w:b/>
                <w:noProof/>
                <w:sz w:val="18"/>
                <w:szCs w:val="18"/>
              </w:rPr>
              <w:t>358,136,509.17</w:t>
            </w:r>
            <w:r w:rsidRPr="00323DA4">
              <w:rPr>
                <w:rFonts w:ascii="Arial" w:hAnsi="Arial" w:cs="Arial"/>
                <w:b/>
                <w:sz w:val="18"/>
                <w:szCs w:val="18"/>
              </w:rPr>
              <w:fldChar w:fldCharType="end"/>
            </w:r>
          </w:p>
        </w:tc>
      </w:tr>
    </w:tbl>
    <w:p w14:paraId="620EF945" w14:textId="77777777" w:rsidR="00AC7F8A" w:rsidRPr="003404AB" w:rsidRDefault="00AC7F8A" w:rsidP="00AC7F8A">
      <w:pPr>
        <w:pStyle w:val="ROMANOS"/>
        <w:spacing w:after="0" w:line="240" w:lineRule="exact"/>
        <w:ind w:left="723" w:firstLine="0"/>
        <w:rPr>
          <w:b/>
          <w:lang w:val="es-MX"/>
        </w:rPr>
      </w:pPr>
    </w:p>
    <w:p w14:paraId="620EF946" w14:textId="234C7D85" w:rsidR="00AC7F8A" w:rsidRPr="00630DB0" w:rsidRDefault="00AC7F8A" w:rsidP="00AC7F8A">
      <w:pPr>
        <w:pStyle w:val="ROMANOS"/>
        <w:spacing w:after="0" w:line="240" w:lineRule="exact"/>
        <w:rPr>
          <w:lang w:val="es-MX"/>
        </w:rPr>
      </w:pPr>
      <w:r>
        <w:rPr>
          <w:lang w:val="es-MX"/>
        </w:rPr>
        <w:tab/>
      </w:r>
      <w:r w:rsidRPr="00C85D39">
        <w:rPr>
          <w:lang w:val="es-MX"/>
        </w:rPr>
        <w:t xml:space="preserve">La </w:t>
      </w:r>
      <w:r w:rsidRPr="00C85D39">
        <w:t>Secretaría de Salud y O.P.D. Salud de Tlaxcala</w:t>
      </w:r>
      <w:r w:rsidR="00DB4649">
        <w:t>,</w:t>
      </w:r>
      <w:r w:rsidRPr="00C85D39">
        <w:rPr>
          <w:lang w:val="es-MX"/>
        </w:rPr>
        <w:t xml:space="preserve"> no </w:t>
      </w:r>
      <w:r w:rsidR="00343090">
        <w:rPr>
          <w:lang w:val="es-MX"/>
        </w:rPr>
        <w:t>cuenta</w:t>
      </w:r>
      <w:r w:rsidRPr="00C85D39">
        <w:rPr>
          <w:lang w:val="es-MX"/>
        </w:rPr>
        <w:t xml:space="preserve"> recursos en Fondos de Bienes de Terceros en Administración y/o en Garantía.</w:t>
      </w:r>
    </w:p>
    <w:p w14:paraId="620EF947" w14:textId="77777777" w:rsidR="00AC7F8A" w:rsidRDefault="00AC7F8A" w:rsidP="00AC7F8A">
      <w:pPr>
        <w:pStyle w:val="ROMANOS"/>
        <w:spacing w:after="0" w:line="240" w:lineRule="exact"/>
        <w:rPr>
          <w:lang w:val="es-MX"/>
        </w:rPr>
      </w:pPr>
      <w:r>
        <w:rPr>
          <w:lang w:val="es-MX"/>
        </w:rPr>
        <w:tab/>
      </w:r>
    </w:p>
    <w:p w14:paraId="620EF948" w14:textId="76EE1F53" w:rsidR="00AC7F8A" w:rsidRPr="00630DB0" w:rsidRDefault="00AC7F8A" w:rsidP="00AC7F8A">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00DB4649">
        <w:t>,</w:t>
      </w:r>
      <w:r w:rsidRPr="002B3AF4">
        <w:rPr>
          <w:lang w:val="es-MX"/>
        </w:rPr>
        <w:t xml:space="preserve"> </w:t>
      </w:r>
      <w:r>
        <w:rPr>
          <w:lang w:val="es-MX"/>
        </w:rPr>
        <w:t>n</w:t>
      </w:r>
      <w:r w:rsidRPr="00483D82">
        <w:rPr>
          <w:lang w:val="es-MX"/>
        </w:rPr>
        <w:t xml:space="preserve">o </w:t>
      </w:r>
      <w:r w:rsidR="00343090">
        <w:rPr>
          <w:lang w:val="es-MX"/>
        </w:rPr>
        <w:t>registra</w:t>
      </w:r>
      <w:r w:rsidRPr="00483D82">
        <w:rPr>
          <w:lang w:val="es-MX"/>
        </w:rPr>
        <w:t xml:space="preserve"> pasivos a largo plazo</w:t>
      </w:r>
      <w:r w:rsidRPr="00630DB0">
        <w:rPr>
          <w:lang w:val="es-MX"/>
        </w:rPr>
        <w:t>.</w:t>
      </w:r>
    </w:p>
    <w:p w14:paraId="620EF949" w14:textId="77777777" w:rsidR="00AC7F8A" w:rsidRDefault="00AC7F8A" w:rsidP="00AC7F8A">
      <w:pPr>
        <w:pStyle w:val="ROMANOS"/>
        <w:spacing w:after="0" w:line="240" w:lineRule="exact"/>
        <w:ind w:left="1008" w:firstLine="0"/>
        <w:rPr>
          <w:lang w:val="es-MX"/>
        </w:rPr>
      </w:pPr>
    </w:p>
    <w:p w14:paraId="620EF94F" w14:textId="77777777" w:rsidR="00AC7F8A" w:rsidRDefault="00AC7F8A" w:rsidP="00AC7F8A">
      <w:pPr>
        <w:pStyle w:val="ROMANOS"/>
        <w:spacing w:after="0" w:line="240" w:lineRule="exact"/>
        <w:ind w:left="1008" w:firstLine="0"/>
        <w:rPr>
          <w:lang w:val="es-MX"/>
        </w:rPr>
      </w:pPr>
    </w:p>
    <w:p w14:paraId="44D797ED" w14:textId="77777777" w:rsidR="002E5ED2" w:rsidRDefault="002E5ED2" w:rsidP="00AC7F8A">
      <w:pPr>
        <w:pStyle w:val="ROMANOS"/>
        <w:spacing w:after="0" w:line="240" w:lineRule="exact"/>
        <w:ind w:left="1008" w:firstLine="0"/>
        <w:rPr>
          <w:lang w:val="es-MX"/>
        </w:rPr>
      </w:pPr>
    </w:p>
    <w:p w14:paraId="1DEC2FF3" w14:textId="4554F45A" w:rsidR="002E5ED2" w:rsidRDefault="002E5ED2" w:rsidP="00AC7F8A">
      <w:pPr>
        <w:pStyle w:val="ROMANOS"/>
        <w:spacing w:after="0" w:line="240" w:lineRule="exact"/>
        <w:ind w:left="1008" w:firstLine="0"/>
        <w:rPr>
          <w:lang w:val="es-MX"/>
        </w:rPr>
      </w:pPr>
    </w:p>
    <w:p w14:paraId="672F0D6A" w14:textId="13228ADB" w:rsidR="00DB4649" w:rsidRDefault="00DB4649" w:rsidP="00AC7F8A">
      <w:pPr>
        <w:pStyle w:val="ROMANOS"/>
        <w:spacing w:after="0" w:line="240" w:lineRule="exact"/>
        <w:ind w:left="1008" w:firstLine="0"/>
        <w:rPr>
          <w:lang w:val="es-MX"/>
        </w:rPr>
      </w:pPr>
    </w:p>
    <w:p w14:paraId="2F35A3E4" w14:textId="37DD1B60" w:rsidR="00DB4649" w:rsidRDefault="00DB4649" w:rsidP="00AC7F8A">
      <w:pPr>
        <w:pStyle w:val="ROMANOS"/>
        <w:spacing w:after="0" w:line="240" w:lineRule="exact"/>
        <w:ind w:left="1008" w:firstLine="0"/>
        <w:rPr>
          <w:lang w:val="es-MX"/>
        </w:rPr>
      </w:pPr>
    </w:p>
    <w:p w14:paraId="386FF888" w14:textId="3A9E5E43" w:rsidR="00DB4649" w:rsidRDefault="00DB4649" w:rsidP="00AC7F8A">
      <w:pPr>
        <w:pStyle w:val="ROMANOS"/>
        <w:spacing w:after="0" w:line="240" w:lineRule="exact"/>
        <w:ind w:left="1008" w:firstLine="0"/>
        <w:rPr>
          <w:lang w:val="es-MX"/>
        </w:rPr>
      </w:pPr>
    </w:p>
    <w:p w14:paraId="6892F68C" w14:textId="69093A44" w:rsidR="00DB4649" w:rsidRDefault="00DB4649" w:rsidP="00AC7F8A">
      <w:pPr>
        <w:pStyle w:val="ROMANOS"/>
        <w:spacing w:after="0" w:line="240" w:lineRule="exact"/>
        <w:ind w:left="1008" w:firstLine="0"/>
        <w:rPr>
          <w:lang w:val="es-MX"/>
        </w:rPr>
      </w:pPr>
    </w:p>
    <w:p w14:paraId="220D21A4" w14:textId="6CD0495F" w:rsidR="00DB4649" w:rsidRDefault="00DB4649" w:rsidP="00AC7F8A">
      <w:pPr>
        <w:pStyle w:val="ROMANOS"/>
        <w:spacing w:after="0" w:line="240" w:lineRule="exact"/>
        <w:ind w:left="1008" w:firstLine="0"/>
        <w:rPr>
          <w:lang w:val="es-MX"/>
        </w:rPr>
      </w:pPr>
    </w:p>
    <w:p w14:paraId="0D9BB594" w14:textId="77777777" w:rsidR="00DB4649" w:rsidRDefault="00DB4649" w:rsidP="00AC7F8A">
      <w:pPr>
        <w:pStyle w:val="ROMANOS"/>
        <w:spacing w:after="0" w:line="240" w:lineRule="exact"/>
        <w:ind w:left="1008" w:firstLine="0"/>
        <w:rPr>
          <w:lang w:val="es-MX"/>
        </w:rPr>
      </w:pPr>
    </w:p>
    <w:p w14:paraId="08F83062" w14:textId="77777777" w:rsidR="002E5ED2" w:rsidRDefault="002E5ED2" w:rsidP="00AC7F8A">
      <w:pPr>
        <w:pStyle w:val="ROMANOS"/>
        <w:spacing w:after="0" w:line="240" w:lineRule="exact"/>
        <w:ind w:left="1008" w:firstLine="0"/>
        <w:rPr>
          <w:lang w:val="es-MX"/>
        </w:rPr>
      </w:pPr>
    </w:p>
    <w:p w14:paraId="620EF950" w14:textId="77777777" w:rsidR="00AC7F8A" w:rsidRPr="00630DB0" w:rsidRDefault="00AC7F8A" w:rsidP="002E5ED2">
      <w:pPr>
        <w:pStyle w:val="INCISO"/>
        <w:spacing w:after="0" w:line="240" w:lineRule="exact"/>
        <w:ind w:left="360"/>
        <w:jc w:val="center"/>
        <w:rPr>
          <w:b/>
          <w:smallCaps/>
        </w:rPr>
      </w:pPr>
      <w:r w:rsidRPr="00630DB0">
        <w:rPr>
          <w:b/>
          <w:smallCaps/>
        </w:rPr>
        <w:t>II)</w:t>
      </w:r>
      <w:r w:rsidRPr="00630DB0">
        <w:rPr>
          <w:b/>
          <w:smallCaps/>
        </w:rPr>
        <w:tab/>
        <w:t>Notas al Estado de Actividades</w:t>
      </w:r>
    </w:p>
    <w:p w14:paraId="620EF951" w14:textId="77777777" w:rsidR="00AC7F8A" w:rsidRDefault="00AC7F8A" w:rsidP="00AC7F8A">
      <w:pPr>
        <w:pStyle w:val="INCISO"/>
        <w:spacing w:after="0" w:line="240" w:lineRule="exact"/>
        <w:ind w:left="360"/>
        <w:rPr>
          <w:b/>
          <w:smallCaps/>
        </w:rPr>
      </w:pPr>
    </w:p>
    <w:p w14:paraId="620EF954" w14:textId="77777777" w:rsidR="00AC7F8A" w:rsidRPr="00630DB0" w:rsidRDefault="00AC7F8A" w:rsidP="00AC7F8A">
      <w:pPr>
        <w:pStyle w:val="ROMANOS"/>
        <w:spacing w:after="0" w:line="240" w:lineRule="exact"/>
        <w:rPr>
          <w:b/>
          <w:lang w:val="es-MX"/>
        </w:rPr>
      </w:pPr>
      <w:r w:rsidRPr="00630DB0">
        <w:rPr>
          <w:b/>
          <w:lang w:val="es-MX"/>
        </w:rPr>
        <w:t>Ingresos de Gestión</w:t>
      </w:r>
    </w:p>
    <w:p w14:paraId="620EF955" w14:textId="255E8530" w:rsidR="00AC7F8A" w:rsidRDefault="00AC7F8A" w:rsidP="00AC7F8A">
      <w:pPr>
        <w:pStyle w:val="ROMANOS"/>
        <w:tabs>
          <w:tab w:val="clear" w:pos="720"/>
        </w:tabs>
        <w:spacing w:after="0" w:line="240" w:lineRule="exact"/>
        <w:ind w:left="284" w:firstLine="4"/>
        <w:rPr>
          <w:lang w:val="es-MX"/>
        </w:rPr>
      </w:pPr>
      <w:r w:rsidRPr="009711C5">
        <w:rPr>
          <w:lang w:val="es-MX"/>
        </w:rPr>
        <w:t>Los ingresos de</w:t>
      </w:r>
      <w:r w:rsidR="00032F70">
        <w:rPr>
          <w:lang w:val="es-MX"/>
        </w:rPr>
        <w:t xml:space="preserve"> la</w:t>
      </w:r>
      <w:r w:rsidRPr="009711C5">
        <w:rPr>
          <w:lang w:val="es-MX"/>
        </w:rPr>
        <w:t xml:space="preserve"> gestión de Salud en el rubro de Productos de Tipo Corriente corresponde</w:t>
      </w:r>
      <w:r w:rsidR="00D63B6F">
        <w:rPr>
          <w:lang w:val="es-MX"/>
        </w:rPr>
        <w:t>n</w:t>
      </w:r>
      <w:r w:rsidRPr="009711C5">
        <w:rPr>
          <w:lang w:val="es-MX"/>
        </w:rPr>
        <w:t xml:space="preserve"> a los rendimientos que generan las cuentas </w:t>
      </w:r>
      <w:r w:rsidRPr="00362148">
        <w:rPr>
          <w:lang w:val="es-MX"/>
        </w:rPr>
        <w:t>bancarias</w:t>
      </w:r>
      <w:r w:rsidR="00032F70">
        <w:rPr>
          <w:lang w:val="es-MX"/>
        </w:rPr>
        <w:t>;</w:t>
      </w:r>
      <w:r w:rsidR="007F092B">
        <w:rPr>
          <w:lang w:val="es-MX"/>
        </w:rPr>
        <w:t xml:space="preserve"> los</w:t>
      </w:r>
      <w:r w:rsidRPr="00362148">
        <w:rPr>
          <w:lang w:val="es-MX"/>
        </w:rPr>
        <w:t xml:space="preserve"> </w:t>
      </w:r>
      <w:r w:rsidR="00DC6435" w:rsidRPr="00362148">
        <w:rPr>
          <w:lang w:val="es-MX"/>
        </w:rPr>
        <w:t>ingreso</w:t>
      </w:r>
      <w:r w:rsidR="00DC6435">
        <w:rPr>
          <w:lang w:val="es-MX"/>
        </w:rPr>
        <w:t>s en el rubro de Aprovechamientos</w:t>
      </w:r>
      <w:r w:rsidR="007F092B">
        <w:rPr>
          <w:lang w:val="es-MX"/>
        </w:rPr>
        <w:t xml:space="preserve"> corresponden a</w:t>
      </w:r>
      <w:r w:rsidR="00DC6435" w:rsidRPr="00362148">
        <w:rPr>
          <w:lang w:val="es-MX"/>
        </w:rPr>
        <w:t xml:space="preserve"> sanciones a proveedores</w:t>
      </w:r>
      <w:r w:rsidR="00032F70">
        <w:rPr>
          <w:lang w:val="es-MX"/>
        </w:rPr>
        <w:t>,</w:t>
      </w:r>
      <w:r w:rsidR="00DC6435" w:rsidRPr="00362148">
        <w:rPr>
          <w:lang w:val="es-MX"/>
        </w:rPr>
        <w:t xml:space="preserve"> </w:t>
      </w:r>
      <w:r w:rsidR="00DC6435">
        <w:rPr>
          <w:lang w:val="es-MX"/>
        </w:rPr>
        <w:t xml:space="preserve">y </w:t>
      </w:r>
      <w:r w:rsidR="00362148" w:rsidRPr="00362148">
        <w:rPr>
          <w:lang w:val="es-MX"/>
        </w:rPr>
        <w:t>los</w:t>
      </w:r>
      <w:r w:rsidRPr="00362148">
        <w:rPr>
          <w:lang w:val="es-MX"/>
        </w:rPr>
        <w:t xml:space="preserve"> ingresos en el rubro de ventas de bienes y servicios </w:t>
      </w:r>
      <w:r w:rsidR="00CE4B46">
        <w:rPr>
          <w:lang w:val="es-MX"/>
        </w:rPr>
        <w:t>corresponden a Cuotas de Recuperación</w:t>
      </w:r>
      <w:r w:rsidR="00032F70">
        <w:rPr>
          <w:lang w:val="es-MX"/>
        </w:rPr>
        <w:t>.</w:t>
      </w:r>
    </w:p>
    <w:p w14:paraId="6BBBF4A0" w14:textId="77777777" w:rsidR="007F092B" w:rsidRDefault="007F092B" w:rsidP="00AC7F8A">
      <w:pPr>
        <w:pStyle w:val="ROMANOS"/>
        <w:tabs>
          <w:tab w:val="clear" w:pos="720"/>
        </w:tabs>
        <w:spacing w:after="0" w:line="240" w:lineRule="exact"/>
        <w:ind w:left="284" w:firstLine="4"/>
        <w:rPr>
          <w:lang w:val="es-MX"/>
        </w:rPr>
      </w:pPr>
    </w:p>
    <w:p w14:paraId="3464CE6F" w14:textId="77777777" w:rsidR="002E5ED2" w:rsidRDefault="002E5ED2" w:rsidP="00AC7F8A">
      <w:pPr>
        <w:pStyle w:val="ROMANOS"/>
        <w:tabs>
          <w:tab w:val="clear" w:pos="720"/>
        </w:tabs>
        <w:spacing w:after="0" w:line="240" w:lineRule="exact"/>
        <w:ind w:left="284" w:firstLine="4"/>
        <w:rPr>
          <w:lang w:val="es-MX"/>
        </w:rPr>
      </w:pPr>
    </w:p>
    <w:tbl>
      <w:tblPr>
        <w:tblStyle w:val="Tablaconcuadrcula"/>
        <w:tblW w:w="6729" w:type="dxa"/>
        <w:jc w:val="center"/>
        <w:tblLook w:val="04A0" w:firstRow="1" w:lastRow="0" w:firstColumn="1" w:lastColumn="0" w:noHBand="0" w:noVBand="1"/>
      </w:tblPr>
      <w:tblGrid>
        <w:gridCol w:w="5121"/>
        <w:gridCol w:w="1608"/>
      </w:tblGrid>
      <w:tr w:rsidR="007F092B" w:rsidRPr="00CC4C59" w14:paraId="5DE42203" w14:textId="77777777" w:rsidTr="007E57C4">
        <w:trPr>
          <w:trHeight w:val="227"/>
          <w:jc w:val="center"/>
        </w:trPr>
        <w:tc>
          <w:tcPr>
            <w:tcW w:w="5121" w:type="dxa"/>
            <w:noWrap/>
          </w:tcPr>
          <w:p w14:paraId="4E02DDEB" w14:textId="77777777" w:rsidR="007F092B" w:rsidRPr="00CC4C59" w:rsidRDefault="007F092B" w:rsidP="007E57C4">
            <w:pPr>
              <w:jc w:val="center"/>
              <w:rPr>
                <w:rFonts w:ascii="Arial" w:eastAsia="Times New Roman" w:hAnsi="Arial" w:cs="Arial"/>
                <w:sz w:val="18"/>
                <w:szCs w:val="18"/>
                <w:lang w:eastAsia="es-ES"/>
              </w:rPr>
            </w:pPr>
            <w:r w:rsidRPr="00CC4C59">
              <w:rPr>
                <w:rFonts w:ascii="Arial" w:eastAsia="Times New Roman" w:hAnsi="Arial" w:cs="Arial"/>
                <w:sz w:val="18"/>
                <w:szCs w:val="18"/>
                <w:lang w:eastAsia="es-ES"/>
              </w:rPr>
              <w:t>CONCEPTO</w:t>
            </w:r>
          </w:p>
        </w:tc>
        <w:tc>
          <w:tcPr>
            <w:tcW w:w="1608" w:type="dxa"/>
            <w:noWrap/>
          </w:tcPr>
          <w:p w14:paraId="5F085650" w14:textId="77777777" w:rsidR="007F092B" w:rsidRPr="00CC4C59" w:rsidRDefault="007F092B" w:rsidP="007E57C4">
            <w:pPr>
              <w:jc w:val="center"/>
              <w:rPr>
                <w:rFonts w:ascii="Arial" w:eastAsia="Times New Roman" w:hAnsi="Arial" w:cs="Arial"/>
                <w:sz w:val="18"/>
                <w:szCs w:val="18"/>
                <w:lang w:eastAsia="es-ES"/>
              </w:rPr>
            </w:pPr>
            <w:r w:rsidRPr="00CC4C59">
              <w:rPr>
                <w:rFonts w:ascii="Arial" w:eastAsia="Times New Roman" w:hAnsi="Arial" w:cs="Arial"/>
                <w:sz w:val="18"/>
                <w:szCs w:val="18"/>
                <w:lang w:eastAsia="es-ES"/>
              </w:rPr>
              <w:t>IMPORTE</w:t>
            </w:r>
          </w:p>
        </w:tc>
      </w:tr>
      <w:tr w:rsidR="00611646" w:rsidRPr="00CC4C59" w14:paraId="2B85EF99" w14:textId="77777777" w:rsidTr="0011163A">
        <w:trPr>
          <w:trHeight w:val="227"/>
          <w:jc w:val="center"/>
        </w:trPr>
        <w:tc>
          <w:tcPr>
            <w:tcW w:w="5121" w:type="dxa"/>
            <w:noWrap/>
            <w:hideMark/>
          </w:tcPr>
          <w:p w14:paraId="13F9BCF6" w14:textId="7AA7F17F" w:rsidR="00611646" w:rsidRPr="00CC4C59" w:rsidRDefault="00611646" w:rsidP="00611646">
            <w:pPr>
              <w:rPr>
                <w:rFonts w:ascii="Arial" w:eastAsia="Times New Roman" w:hAnsi="Arial" w:cs="Arial"/>
                <w:sz w:val="18"/>
                <w:szCs w:val="18"/>
                <w:lang w:eastAsia="es-ES"/>
              </w:rPr>
            </w:pPr>
            <w:r w:rsidRPr="00CC4C59">
              <w:rPr>
                <w:rFonts w:ascii="Arial" w:hAnsi="Arial" w:cs="Arial"/>
                <w:color w:val="000000"/>
                <w:sz w:val="18"/>
                <w:szCs w:val="18"/>
              </w:rPr>
              <w:t xml:space="preserve">Productos </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2E41C" w14:textId="0BEB899C" w:rsidR="00611646" w:rsidRPr="00CC4C59" w:rsidRDefault="00F35D1D" w:rsidP="00F35D1D">
            <w:pPr>
              <w:jc w:val="right"/>
              <w:rPr>
                <w:rFonts w:ascii="Arial" w:hAnsi="Arial" w:cs="Arial"/>
                <w:noProof/>
                <w:sz w:val="18"/>
                <w:szCs w:val="18"/>
              </w:rPr>
            </w:pPr>
            <w:r w:rsidRPr="00F35D1D">
              <w:rPr>
                <w:rFonts w:ascii="Arial" w:hAnsi="Arial" w:cs="Arial"/>
                <w:noProof/>
                <w:sz w:val="18"/>
                <w:szCs w:val="18"/>
              </w:rPr>
              <w:t>2,878,055.23</w:t>
            </w:r>
          </w:p>
        </w:tc>
      </w:tr>
      <w:tr w:rsidR="0011163A" w:rsidRPr="00CC4C59" w14:paraId="338F5007" w14:textId="77777777" w:rsidTr="0011163A">
        <w:trPr>
          <w:trHeight w:val="227"/>
          <w:jc w:val="center"/>
        </w:trPr>
        <w:tc>
          <w:tcPr>
            <w:tcW w:w="5121" w:type="dxa"/>
            <w:noWrap/>
          </w:tcPr>
          <w:p w14:paraId="3AAD5607" w14:textId="3A90844F" w:rsidR="0011163A" w:rsidRPr="00CC4C59" w:rsidRDefault="0011163A" w:rsidP="0011163A">
            <w:pPr>
              <w:rPr>
                <w:rFonts w:ascii="Arial" w:eastAsia="Times New Roman" w:hAnsi="Arial" w:cs="Arial"/>
                <w:sz w:val="18"/>
                <w:szCs w:val="18"/>
                <w:lang w:eastAsia="es-ES"/>
              </w:rPr>
            </w:pPr>
            <w:r w:rsidRPr="00CC4C59">
              <w:rPr>
                <w:rFonts w:ascii="Arial" w:hAnsi="Arial" w:cs="Arial"/>
                <w:sz w:val="18"/>
                <w:szCs w:val="18"/>
              </w:rPr>
              <w:t>Multas (Sanciones a proveedores)</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A2237" w14:textId="24064838" w:rsidR="0011163A" w:rsidRPr="00CC4C59" w:rsidRDefault="00F35D1D" w:rsidP="00F35D1D">
            <w:pPr>
              <w:jc w:val="right"/>
              <w:rPr>
                <w:rFonts w:ascii="Arial" w:hAnsi="Arial" w:cs="Arial"/>
                <w:noProof/>
                <w:sz w:val="18"/>
                <w:szCs w:val="18"/>
              </w:rPr>
            </w:pPr>
            <w:r w:rsidRPr="00F35D1D">
              <w:rPr>
                <w:rFonts w:ascii="Arial" w:hAnsi="Arial" w:cs="Arial"/>
                <w:noProof/>
                <w:sz w:val="18"/>
                <w:szCs w:val="18"/>
              </w:rPr>
              <w:t>1,298,569.93</w:t>
            </w:r>
          </w:p>
        </w:tc>
      </w:tr>
      <w:tr w:rsidR="0011163A" w:rsidRPr="00CC4C59" w14:paraId="40B9BB93" w14:textId="77777777" w:rsidTr="0011163A">
        <w:trPr>
          <w:trHeight w:val="227"/>
          <w:jc w:val="center"/>
        </w:trPr>
        <w:tc>
          <w:tcPr>
            <w:tcW w:w="5121" w:type="dxa"/>
            <w:noWrap/>
          </w:tcPr>
          <w:p w14:paraId="359CB31A" w14:textId="62D71515" w:rsidR="0011163A" w:rsidRPr="00CC4C59" w:rsidRDefault="0011163A" w:rsidP="0011163A">
            <w:pPr>
              <w:rPr>
                <w:rFonts w:ascii="Arial" w:eastAsia="Times New Roman" w:hAnsi="Arial" w:cs="Arial"/>
                <w:sz w:val="18"/>
                <w:szCs w:val="18"/>
                <w:lang w:eastAsia="es-ES"/>
              </w:rPr>
            </w:pPr>
            <w:r w:rsidRPr="00CC4C59">
              <w:rPr>
                <w:rFonts w:ascii="Arial" w:hAnsi="Arial" w:cs="Arial"/>
                <w:color w:val="000000"/>
                <w:sz w:val="18"/>
                <w:szCs w:val="18"/>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shd w:val="clear" w:color="auto" w:fill="auto"/>
            <w:noWrap/>
            <w:vAlign w:val="bottom"/>
          </w:tcPr>
          <w:p w14:paraId="578FBFB1" w14:textId="4A9CB637" w:rsidR="0011163A" w:rsidRPr="00F35D1D" w:rsidRDefault="00F35D1D" w:rsidP="00F35D1D">
            <w:pPr>
              <w:jc w:val="right"/>
              <w:rPr>
                <w:rFonts w:ascii="Arial" w:hAnsi="Arial" w:cs="Arial"/>
                <w:noProof/>
                <w:sz w:val="18"/>
                <w:szCs w:val="18"/>
              </w:rPr>
            </w:pPr>
            <w:r w:rsidRPr="00F35D1D">
              <w:rPr>
                <w:rFonts w:ascii="Arial" w:hAnsi="Arial" w:cs="Arial"/>
                <w:noProof/>
                <w:sz w:val="18"/>
                <w:szCs w:val="18"/>
              </w:rPr>
              <w:t>10,997,086.34</w:t>
            </w:r>
          </w:p>
        </w:tc>
      </w:tr>
      <w:tr w:rsidR="0011163A" w:rsidRPr="00323DA4" w14:paraId="212DCC44" w14:textId="77777777" w:rsidTr="007E57C4">
        <w:trPr>
          <w:trHeight w:val="227"/>
          <w:jc w:val="center"/>
        </w:trPr>
        <w:tc>
          <w:tcPr>
            <w:tcW w:w="5121" w:type="dxa"/>
            <w:noWrap/>
          </w:tcPr>
          <w:p w14:paraId="6A7219ED" w14:textId="0D8EB26F" w:rsidR="0011163A" w:rsidRPr="00323DA4" w:rsidRDefault="00323DA4" w:rsidP="0011163A">
            <w:pPr>
              <w:rPr>
                <w:rFonts w:ascii="Arial" w:eastAsia="Times New Roman" w:hAnsi="Arial" w:cs="Arial"/>
                <w:b/>
                <w:sz w:val="18"/>
                <w:szCs w:val="18"/>
                <w:lang w:eastAsia="es-ES"/>
              </w:rPr>
            </w:pPr>
            <w:r w:rsidRPr="00323DA4">
              <w:rPr>
                <w:rFonts w:ascii="Arial" w:eastAsia="Times New Roman" w:hAnsi="Arial" w:cs="Arial"/>
                <w:b/>
                <w:sz w:val="18"/>
                <w:szCs w:val="18"/>
                <w:lang w:eastAsia="es-ES"/>
              </w:rPr>
              <w:t>Suma</w:t>
            </w:r>
          </w:p>
        </w:tc>
        <w:tc>
          <w:tcPr>
            <w:tcW w:w="1608" w:type="dxa"/>
            <w:noWrap/>
          </w:tcPr>
          <w:p w14:paraId="365976C2" w14:textId="79768414" w:rsidR="0011163A" w:rsidRPr="00323DA4" w:rsidRDefault="00F35D1D" w:rsidP="0011163A">
            <w:pPr>
              <w:jc w:val="right"/>
              <w:rPr>
                <w:rFonts w:ascii="Arial" w:hAnsi="Arial" w:cs="Arial"/>
                <w:b/>
                <w:sz w:val="18"/>
                <w:szCs w:val="18"/>
              </w:rPr>
            </w:pPr>
            <w:r w:rsidRPr="00323DA4">
              <w:rPr>
                <w:rFonts w:ascii="Arial" w:hAnsi="Arial" w:cs="Arial"/>
                <w:b/>
                <w:sz w:val="18"/>
                <w:szCs w:val="18"/>
              </w:rPr>
              <w:fldChar w:fldCharType="begin"/>
            </w:r>
            <w:r w:rsidRPr="00323DA4">
              <w:rPr>
                <w:rFonts w:ascii="Arial" w:hAnsi="Arial" w:cs="Arial"/>
                <w:b/>
                <w:sz w:val="18"/>
                <w:szCs w:val="18"/>
              </w:rPr>
              <w:instrText xml:space="preserve"> =SUM(ABOVE) </w:instrText>
            </w:r>
            <w:r w:rsidRPr="00323DA4">
              <w:rPr>
                <w:rFonts w:ascii="Arial" w:hAnsi="Arial" w:cs="Arial"/>
                <w:b/>
                <w:sz w:val="18"/>
                <w:szCs w:val="18"/>
              </w:rPr>
              <w:fldChar w:fldCharType="separate"/>
            </w:r>
            <w:r w:rsidRPr="00323DA4">
              <w:rPr>
                <w:rFonts w:ascii="Arial" w:hAnsi="Arial" w:cs="Arial"/>
                <w:b/>
                <w:noProof/>
                <w:sz w:val="18"/>
                <w:szCs w:val="18"/>
              </w:rPr>
              <w:t>15,173,711.5</w:t>
            </w:r>
            <w:r w:rsidRPr="00323DA4">
              <w:rPr>
                <w:rFonts w:ascii="Arial" w:hAnsi="Arial" w:cs="Arial"/>
                <w:b/>
                <w:sz w:val="18"/>
                <w:szCs w:val="18"/>
              </w:rPr>
              <w:fldChar w:fldCharType="end"/>
            </w:r>
            <w:r w:rsidRPr="00323DA4">
              <w:rPr>
                <w:rFonts w:ascii="Arial" w:hAnsi="Arial" w:cs="Arial"/>
                <w:b/>
                <w:sz w:val="18"/>
                <w:szCs w:val="18"/>
              </w:rPr>
              <w:t>0</w:t>
            </w:r>
          </w:p>
        </w:tc>
      </w:tr>
    </w:tbl>
    <w:p w14:paraId="543FABDF" w14:textId="77777777" w:rsidR="00420E80" w:rsidRDefault="00420E80" w:rsidP="00AC7F8A">
      <w:pPr>
        <w:pStyle w:val="ROMANOS"/>
        <w:tabs>
          <w:tab w:val="clear" w:pos="720"/>
        </w:tabs>
        <w:spacing w:after="0" w:line="240" w:lineRule="exact"/>
        <w:ind w:left="284" w:firstLine="4"/>
        <w:rPr>
          <w:highlight w:val="yellow"/>
          <w:lang w:val="es-MX"/>
        </w:rPr>
      </w:pPr>
    </w:p>
    <w:p w14:paraId="620EF957" w14:textId="77777777" w:rsidR="00AC7F8A" w:rsidRPr="0073056A" w:rsidRDefault="00AC7F8A" w:rsidP="00AC7F8A">
      <w:pPr>
        <w:tabs>
          <w:tab w:val="left" w:pos="284"/>
        </w:tabs>
        <w:spacing w:after="0"/>
        <w:ind w:left="284"/>
        <w:jc w:val="both"/>
        <w:rPr>
          <w:rFonts w:ascii="Arial" w:hAnsi="Arial" w:cs="Arial"/>
          <w:b/>
          <w:sz w:val="18"/>
          <w:szCs w:val="18"/>
        </w:rPr>
      </w:pPr>
      <w:r w:rsidRPr="00A33146">
        <w:rPr>
          <w:rFonts w:ascii="Arial" w:hAnsi="Arial" w:cs="Arial"/>
          <w:b/>
          <w:sz w:val="18"/>
          <w:szCs w:val="18"/>
        </w:rPr>
        <w:t>Participaciones, Aportaciones, Transferencias, Asignaciones, Subsidios y Otras Ayudas</w:t>
      </w:r>
    </w:p>
    <w:p w14:paraId="620EF958" w14:textId="31DC7597" w:rsidR="00AC7F8A" w:rsidRDefault="00467D58" w:rsidP="00AC7F8A">
      <w:pPr>
        <w:autoSpaceDE w:val="0"/>
        <w:autoSpaceDN w:val="0"/>
        <w:adjustRightInd w:val="0"/>
        <w:spacing w:after="0" w:line="240" w:lineRule="auto"/>
        <w:ind w:left="284"/>
        <w:jc w:val="both"/>
        <w:rPr>
          <w:rFonts w:ascii="Arial" w:hAnsi="Arial" w:cs="Arial"/>
          <w:sz w:val="18"/>
          <w:szCs w:val="18"/>
        </w:rPr>
      </w:pPr>
      <w:r>
        <w:rPr>
          <w:rFonts w:ascii="ArialMT" w:hAnsi="ArialMT" w:cs="ArialMT"/>
          <w:sz w:val="18"/>
          <w:szCs w:val="18"/>
          <w:lang w:val="es-ES"/>
        </w:rPr>
        <w:t>L</w:t>
      </w:r>
      <w:r w:rsidR="00AC7F8A">
        <w:rPr>
          <w:rFonts w:ascii="ArialMT" w:hAnsi="ArialMT" w:cs="ArialMT"/>
          <w:sz w:val="18"/>
          <w:szCs w:val="18"/>
          <w:lang w:val="es-ES"/>
        </w:rPr>
        <w:t xml:space="preserve">os recursos que </w:t>
      </w:r>
      <w:r w:rsidR="002E5ED2">
        <w:rPr>
          <w:rFonts w:ascii="ArialMT" w:hAnsi="ArialMT" w:cs="ArialMT"/>
          <w:sz w:val="18"/>
          <w:szCs w:val="18"/>
          <w:lang w:val="es-ES"/>
        </w:rPr>
        <w:t xml:space="preserve">se </w:t>
      </w:r>
      <w:r w:rsidR="00AC7F8A">
        <w:rPr>
          <w:rFonts w:ascii="ArialMT" w:hAnsi="ArialMT" w:cs="ArialMT"/>
          <w:sz w:val="18"/>
          <w:szCs w:val="18"/>
          <w:lang w:val="es-ES"/>
        </w:rPr>
        <w:t>recibe</w:t>
      </w:r>
      <w:r w:rsidR="002E5ED2">
        <w:rPr>
          <w:rFonts w:ascii="ArialMT" w:hAnsi="ArialMT" w:cs="ArialMT"/>
          <w:sz w:val="18"/>
          <w:szCs w:val="18"/>
          <w:lang w:val="es-ES"/>
        </w:rPr>
        <w:t>n</w:t>
      </w:r>
      <w:r w:rsidR="00AC7F8A">
        <w:rPr>
          <w:rFonts w:ascii="ArialMT" w:hAnsi="ArialMT" w:cs="ArialMT"/>
          <w:sz w:val="18"/>
          <w:szCs w:val="18"/>
          <w:lang w:val="es-ES"/>
        </w:rPr>
        <w:t xml:space="preserve"> </w:t>
      </w:r>
      <w:r w:rsidR="003C1E83">
        <w:rPr>
          <w:rFonts w:ascii="ArialMT" w:hAnsi="ArialMT" w:cs="ArialMT"/>
          <w:sz w:val="18"/>
          <w:szCs w:val="18"/>
          <w:lang w:val="es-ES"/>
        </w:rPr>
        <w:t xml:space="preserve">en </w:t>
      </w:r>
      <w:r w:rsidR="00CC4C59">
        <w:rPr>
          <w:rFonts w:ascii="ArialMT" w:hAnsi="ArialMT" w:cs="ArialMT"/>
          <w:sz w:val="18"/>
          <w:szCs w:val="18"/>
          <w:lang w:val="es-ES"/>
        </w:rPr>
        <w:t xml:space="preserve">esta </w:t>
      </w:r>
      <w:r w:rsidR="00CC4C59" w:rsidRPr="00CC4C59">
        <w:rPr>
          <w:rFonts w:ascii="Arial" w:hAnsi="Arial" w:cs="Arial"/>
          <w:color w:val="000000"/>
          <w:sz w:val="18"/>
          <w:szCs w:val="18"/>
        </w:rPr>
        <w:t>Entidad Paraestatal No Empresarial y No Financier</w:t>
      </w:r>
      <w:r w:rsidR="00CC4C59">
        <w:rPr>
          <w:rFonts w:ascii="Arial" w:hAnsi="Arial" w:cs="Arial"/>
          <w:color w:val="000000"/>
          <w:sz w:val="18"/>
          <w:szCs w:val="18"/>
        </w:rPr>
        <w:t>a</w:t>
      </w:r>
      <w:r w:rsidR="003C1E83">
        <w:rPr>
          <w:rFonts w:ascii="Arial" w:hAnsi="Arial" w:cs="Arial"/>
          <w:color w:val="000000"/>
          <w:sz w:val="18"/>
          <w:szCs w:val="18"/>
        </w:rPr>
        <w:t>,</w:t>
      </w:r>
      <w:r w:rsidR="00CC4C59">
        <w:rPr>
          <w:rFonts w:ascii="Arial" w:hAnsi="Arial" w:cs="Arial"/>
          <w:color w:val="000000"/>
          <w:sz w:val="18"/>
          <w:szCs w:val="18"/>
        </w:rPr>
        <w:t xml:space="preserve"> </w:t>
      </w:r>
      <w:r w:rsidR="00CC4C59">
        <w:rPr>
          <w:rFonts w:ascii="ArialMT" w:hAnsi="ArialMT" w:cs="ArialMT"/>
          <w:sz w:val="18"/>
          <w:szCs w:val="18"/>
          <w:lang w:val="es-ES"/>
        </w:rPr>
        <w:t>para el sostenimiento y desempeño de sus actividades</w:t>
      </w:r>
      <w:r>
        <w:rPr>
          <w:rFonts w:ascii="ArialMT" w:hAnsi="ArialMT" w:cs="ArialMT"/>
          <w:sz w:val="18"/>
          <w:szCs w:val="18"/>
          <w:lang w:val="es-ES"/>
        </w:rPr>
        <w:t xml:space="preserve">, </w:t>
      </w:r>
      <w:r w:rsidR="002E5ED2">
        <w:rPr>
          <w:rFonts w:ascii="ArialMT" w:hAnsi="ArialMT" w:cs="ArialMT"/>
          <w:sz w:val="18"/>
          <w:szCs w:val="18"/>
          <w:lang w:val="es-ES"/>
        </w:rPr>
        <w:t>se registran en</w:t>
      </w:r>
      <w:r>
        <w:rPr>
          <w:rFonts w:ascii="ArialMT" w:hAnsi="ArialMT" w:cs="ArialMT"/>
          <w:sz w:val="18"/>
          <w:szCs w:val="18"/>
          <w:lang w:val="es-ES"/>
        </w:rPr>
        <w:t xml:space="preserve"> </w:t>
      </w:r>
      <w:r w:rsidR="002E5ED2">
        <w:rPr>
          <w:rFonts w:ascii="ArialMT" w:hAnsi="ArialMT" w:cs="ArialMT"/>
          <w:sz w:val="18"/>
          <w:szCs w:val="18"/>
          <w:lang w:val="es-ES"/>
        </w:rPr>
        <w:t>e</w:t>
      </w:r>
      <w:r>
        <w:rPr>
          <w:rFonts w:ascii="ArialMT" w:hAnsi="ArialMT" w:cs="ArialMT"/>
          <w:sz w:val="18"/>
          <w:szCs w:val="18"/>
          <w:lang w:val="es-ES"/>
        </w:rPr>
        <w:t>l rubro de</w:t>
      </w:r>
      <w:r w:rsidRPr="00467D58">
        <w:rPr>
          <w:rFonts w:ascii="ArialMT" w:hAnsi="ArialMT" w:cs="ArialMT"/>
          <w:sz w:val="18"/>
          <w:szCs w:val="18"/>
          <w:lang w:val="es-ES"/>
        </w:rPr>
        <w:t xml:space="preserve"> </w:t>
      </w:r>
      <w:r w:rsidRPr="00D24540">
        <w:rPr>
          <w:rFonts w:ascii="ArialMT" w:hAnsi="ArialMT" w:cs="ArialMT"/>
          <w:sz w:val="18"/>
          <w:szCs w:val="18"/>
          <w:lang w:val="es-ES"/>
        </w:rPr>
        <w:t>Transferencias y Asignaciones</w:t>
      </w:r>
      <w:r w:rsidR="00CC4C59">
        <w:rPr>
          <w:rFonts w:ascii="ArialMT" w:hAnsi="ArialMT" w:cs="ArialMT"/>
          <w:sz w:val="18"/>
          <w:szCs w:val="18"/>
          <w:lang w:val="es-ES"/>
        </w:rPr>
        <w:t>.</w:t>
      </w:r>
    </w:p>
    <w:p w14:paraId="620EF959" w14:textId="77777777" w:rsidR="00AC7F8A" w:rsidRDefault="00AC7F8A" w:rsidP="00AC7F8A">
      <w:pPr>
        <w:autoSpaceDE w:val="0"/>
        <w:autoSpaceDN w:val="0"/>
        <w:adjustRightInd w:val="0"/>
        <w:spacing w:after="0" w:line="240" w:lineRule="auto"/>
        <w:ind w:left="284"/>
        <w:jc w:val="both"/>
        <w:rPr>
          <w:rFonts w:ascii="Arial" w:hAnsi="Arial" w:cs="Arial"/>
          <w:sz w:val="18"/>
          <w:szCs w:val="18"/>
        </w:rPr>
      </w:pPr>
    </w:p>
    <w:tbl>
      <w:tblPr>
        <w:tblStyle w:val="Tablaconcuadrcula"/>
        <w:tblW w:w="10638" w:type="dxa"/>
        <w:jc w:val="center"/>
        <w:tblLayout w:type="fixed"/>
        <w:tblLook w:val="04A0" w:firstRow="1" w:lastRow="0" w:firstColumn="1" w:lastColumn="0" w:noHBand="0" w:noVBand="1"/>
      </w:tblPr>
      <w:tblGrid>
        <w:gridCol w:w="8500"/>
        <w:gridCol w:w="2138"/>
      </w:tblGrid>
      <w:tr w:rsidR="00863EC2" w:rsidRPr="00B74AA8" w14:paraId="620EF95D" w14:textId="77777777" w:rsidTr="00B803CE">
        <w:trPr>
          <w:trHeight w:val="480"/>
          <w:jc w:val="center"/>
        </w:trPr>
        <w:tc>
          <w:tcPr>
            <w:tcW w:w="8500" w:type="dxa"/>
            <w:hideMark/>
          </w:tcPr>
          <w:p w14:paraId="620EF95A" w14:textId="77777777" w:rsidR="00863EC2" w:rsidRPr="00B74AA8" w:rsidRDefault="00863EC2" w:rsidP="00AD6257">
            <w:pPr>
              <w:jc w:val="center"/>
              <w:rPr>
                <w:rFonts w:ascii="Arial" w:eastAsia="Times New Roman" w:hAnsi="Arial" w:cs="Arial"/>
                <w:color w:val="000000"/>
                <w:sz w:val="18"/>
                <w:szCs w:val="18"/>
                <w:lang w:val="es-ES" w:eastAsia="es-ES"/>
              </w:rPr>
            </w:pPr>
            <w:r w:rsidRPr="00B74AA8">
              <w:rPr>
                <w:rFonts w:ascii="Arial" w:eastAsia="Times New Roman" w:hAnsi="Arial" w:cs="Arial"/>
                <w:color w:val="000000"/>
                <w:sz w:val="18"/>
                <w:szCs w:val="18"/>
                <w:lang w:val="es-ES" w:eastAsia="es-ES"/>
              </w:rPr>
              <w:t>CONCEPTO</w:t>
            </w:r>
          </w:p>
        </w:tc>
        <w:tc>
          <w:tcPr>
            <w:tcW w:w="2138" w:type="dxa"/>
            <w:hideMark/>
          </w:tcPr>
          <w:p w14:paraId="620EF95B" w14:textId="77777777" w:rsidR="00863EC2" w:rsidRPr="00B74AA8" w:rsidRDefault="00863EC2" w:rsidP="00AD6257">
            <w:pPr>
              <w:jc w:val="center"/>
              <w:rPr>
                <w:rFonts w:ascii="Arial" w:eastAsia="Times New Roman" w:hAnsi="Arial" w:cs="Arial"/>
                <w:color w:val="000000"/>
                <w:sz w:val="18"/>
                <w:szCs w:val="18"/>
                <w:lang w:val="es-ES" w:eastAsia="es-ES"/>
              </w:rPr>
            </w:pPr>
            <w:r w:rsidRPr="00B74AA8">
              <w:rPr>
                <w:rFonts w:ascii="Arial" w:eastAsia="Times New Roman" w:hAnsi="Arial" w:cs="Arial"/>
                <w:color w:val="000000"/>
                <w:sz w:val="18"/>
                <w:szCs w:val="18"/>
                <w:lang w:val="es-ES" w:eastAsia="es-ES"/>
              </w:rPr>
              <w:t>MONTO DEVENGADO</w:t>
            </w:r>
          </w:p>
        </w:tc>
      </w:tr>
      <w:tr w:rsidR="00B803CE" w:rsidRPr="002972AA" w14:paraId="620EF961" w14:textId="77777777" w:rsidTr="00B803CE">
        <w:trPr>
          <w:trHeight w:val="227"/>
          <w:jc w:val="center"/>
        </w:trPr>
        <w:tc>
          <w:tcPr>
            <w:tcW w:w="8500" w:type="dxa"/>
          </w:tcPr>
          <w:p w14:paraId="620EF95E" w14:textId="1DCA1903" w:rsidR="00B803CE" w:rsidRPr="0019169A" w:rsidRDefault="00B803CE" w:rsidP="00B803CE">
            <w:pPr>
              <w:rPr>
                <w:rFonts w:ascii="Arial" w:hAnsi="Arial" w:cs="Arial"/>
                <w:sz w:val="18"/>
                <w:szCs w:val="18"/>
              </w:rPr>
            </w:pPr>
            <w:r>
              <w:rPr>
                <w:rFonts w:ascii="Arial" w:hAnsi="Arial" w:cs="Arial"/>
                <w:sz w:val="18"/>
                <w:szCs w:val="18"/>
              </w:rPr>
              <w:t>Fondo General de Participaciones</w:t>
            </w:r>
          </w:p>
        </w:tc>
        <w:tc>
          <w:tcPr>
            <w:tcW w:w="2138" w:type="dxa"/>
            <w:vAlign w:val="bottom"/>
          </w:tcPr>
          <w:p w14:paraId="620EF95F" w14:textId="2653A83C" w:rsidR="00B803CE" w:rsidRPr="00B803CE" w:rsidRDefault="00B803CE" w:rsidP="00B803CE">
            <w:pPr>
              <w:jc w:val="right"/>
              <w:rPr>
                <w:rFonts w:ascii="Arial" w:hAnsi="Arial" w:cs="Arial"/>
                <w:noProof/>
                <w:sz w:val="18"/>
              </w:rPr>
            </w:pPr>
            <w:r w:rsidRPr="00B803CE">
              <w:rPr>
                <w:rFonts w:ascii="Arial" w:hAnsi="Arial" w:cs="Arial"/>
                <w:noProof/>
                <w:sz w:val="18"/>
              </w:rPr>
              <w:t xml:space="preserve"> 541,396,040.67 </w:t>
            </w:r>
          </w:p>
        </w:tc>
      </w:tr>
      <w:tr w:rsidR="00B803CE" w:rsidRPr="002972AA" w14:paraId="7F8601AA" w14:textId="77777777" w:rsidTr="00B803CE">
        <w:trPr>
          <w:trHeight w:val="227"/>
          <w:jc w:val="center"/>
        </w:trPr>
        <w:tc>
          <w:tcPr>
            <w:tcW w:w="8500" w:type="dxa"/>
          </w:tcPr>
          <w:p w14:paraId="4B7079B7" w14:textId="498FDFFA" w:rsidR="00B803CE" w:rsidRDefault="00B803CE" w:rsidP="00B803CE">
            <w:pPr>
              <w:rPr>
                <w:rFonts w:ascii="Arial" w:hAnsi="Arial" w:cs="Arial"/>
                <w:sz w:val="18"/>
                <w:szCs w:val="18"/>
              </w:rPr>
            </w:pPr>
            <w:r>
              <w:rPr>
                <w:rFonts w:ascii="Arial" w:hAnsi="Arial" w:cs="Arial"/>
                <w:sz w:val="18"/>
                <w:szCs w:val="18"/>
              </w:rPr>
              <w:t>Fondo del Impuesto Sobre la Renta</w:t>
            </w:r>
          </w:p>
        </w:tc>
        <w:tc>
          <w:tcPr>
            <w:tcW w:w="2138" w:type="dxa"/>
            <w:vAlign w:val="bottom"/>
          </w:tcPr>
          <w:p w14:paraId="34FA406A" w14:textId="46CF89B0" w:rsidR="00B803CE" w:rsidRPr="00B803CE" w:rsidRDefault="00B803CE" w:rsidP="00B803CE">
            <w:pPr>
              <w:jc w:val="right"/>
              <w:rPr>
                <w:rFonts w:ascii="Arial" w:hAnsi="Arial" w:cs="Arial"/>
                <w:noProof/>
                <w:sz w:val="18"/>
              </w:rPr>
            </w:pPr>
            <w:r w:rsidRPr="00B803CE">
              <w:rPr>
                <w:rFonts w:ascii="Arial" w:hAnsi="Arial" w:cs="Arial"/>
                <w:noProof/>
                <w:sz w:val="18"/>
              </w:rPr>
              <w:t xml:space="preserve"> 4,520,722.48 </w:t>
            </w:r>
          </w:p>
        </w:tc>
      </w:tr>
      <w:tr w:rsidR="00B803CE" w:rsidRPr="002972AA" w14:paraId="060891DB" w14:textId="77777777" w:rsidTr="00B803CE">
        <w:trPr>
          <w:trHeight w:val="227"/>
          <w:jc w:val="center"/>
        </w:trPr>
        <w:tc>
          <w:tcPr>
            <w:tcW w:w="8500" w:type="dxa"/>
          </w:tcPr>
          <w:p w14:paraId="6E821FD2" w14:textId="51B3EBE2" w:rsidR="00B803CE" w:rsidRDefault="00B803CE" w:rsidP="00B803CE">
            <w:pPr>
              <w:rPr>
                <w:rFonts w:ascii="Arial" w:hAnsi="Arial" w:cs="Arial"/>
                <w:sz w:val="18"/>
                <w:szCs w:val="18"/>
              </w:rPr>
            </w:pPr>
            <w:proofErr w:type="gramStart"/>
            <w:r>
              <w:rPr>
                <w:rFonts w:ascii="Arial" w:hAnsi="Arial" w:cs="Arial"/>
                <w:sz w:val="18"/>
                <w:szCs w:val="18"/>
              </w:rPr>
              <w:t>Participaciones derivados</w:t>
            </w:r>
            <w:proofErr w:type="gramEnd"/>
            <w:r>
              <w:rPr>
                <w:rFonts w:ascii="Arial" w:hAnsi="Arial" w:cs="Arial"/>
                <w:sz w:val="18"/>
                <w:szCs w:val="18"/>
              </w:rPr>
              <w:t xml:space="preserve"> de ingresos locales</w:t>
            </w:r>
          </w:p>
        </w:tc>
        <w:tc>
          <w:tcPr>
            <w:tcW w:w="2138" w:type="dxa"/>
            <w:vAlign w:val="bottom"/>
          </w:tcPr>
          <w:p w14:paraId="110BA012" w14:textId="14F9DFE8" w:rsidR="00B803CE" w:rsidRPr="00B803CE" w:rsidRDefault="00B803CE" w:rsidP="00B803CE">
            <w:pPr>
              <w:jc w:val="right"/>
              <w:rPr>
                <w:rFonts w:ascii="Arial" w:hAnsi="Arial" w:cs="Arial"/>
                <w:noProof/>
                <w:sz w:val="18"/>
              </w:rPr>
            </w:pPr>
            <w:r w:rsidRPr="00B803CE">
              <w:rPr>
                <w:rFonts w:ascii="Arial" w:hAnsi="Arial" w:cs="Arial"/>
                <w:noProof/>
                <w:sz w:val="18"/>
              </w:rPr>
              <w:t xml:space="preserve"> 152,243,840.11 </w:t>
            </w:r>
          </w:p>
        </w:tc>
      </w:tr>
      <w:tr w:rsidR="00B803CE" w:rsidRPr="002972AA" w14:paraId="568A6E75" w14:textId="77777777" w:rsidTr="00B803CE">
        <w:trPr>
          <w:trHeight w:val="227"/>
          <w:jc w:val="center"/>
        </w:trPr>
        <w:tc>
          <w:tcPr>
            <w:tcW w:w="8500" w:type="dxa"/>
          </w:tcPr>
          <w:p w14:paraId="60A9E10D" w14:textId="5CE39858" w:rsidR="00B803CE" w:rsidRDefault="00B803CE" w:rsidP="00B803CE">
            <w:pPr>
              <w:rPr>
                <w:rFonts w:ascii="Arial" w:hAnsi="Arial" w:cs="Arial"/>
                <w:sz w:val="18"/>
                <w:szCs w:val="18"/>
              </w:rPr>
            </w:pPr>
            <w:r w:rsidRPr="0011163A">
              <w:rPr>
                <w:rFonts w:ascii="Arial" w:hAnsi="Arial" w:cs="Arial"/>
                <w:sz w:val="18"/>
                <w:szCs w:val="18"/>
              </w:rPr>
              <w:t>Fondo de Compensación</w:t>
            </w:r>
          </w:p>
        </w:tc>
        <w:tc>
          <w:tcPr>
            <w:tcW w:w="2138" w:type="dxa"/>
            <w:vAlign w:val="bottom"/>
          </w:tcPr>
          <w:p w14:paraId="702BACA0" w14:textId="5B2167EC" w:rsidR="00B803CE" w:rsidRPr="00B803CE" w:rsidRDefault="00B803CE" w:rsidP="00B803CE">
            <w:pPr>
              <w:jc w:val="right"/>
              <w:rPr>
                <w:rFonts w:ascii="Arial" w:hAnsi="Arial" w:cs="Arial"/>
                <w:noProof/>
                <w:sz w:val="18"/>
              </w:rPr>
            </w:pPr>
            <w:r w:rsidRPr="00B803CE">
              <w:rPr>
                <w:rFonts w:ascii="Arial" w:hAnsi="Arial" w:cs="Arial"/>
                <w:noProof/>
                <w:sz w:val="18"/>
              </w:rPr>
              <w:t xml:space="preserve"> 47,198,407.20 </w:t>
            </w:r>
          </w:p>
        </w:tc>
      </w:tr>
      <w:tr w:rsidR="00B803CE" w:rsidRPr="002972AA" w14:paraId="46D96E55" w14:textId="77777777" w:rsidTr="00B803CE">
        <w:trPr>
          <w:trHeight w:val="227"/>
          <w:jc w:val="center"/>
        </w:trPr>
        <w:tc>
          <w:tcPr>
            <w:tcW w:w="8500" w:type="dxa"/>
          </w:tcPr>
          <w:p w14:paraId="2CCF19BC" w14:textId="080B161B" w:rsidR="00B803CE" w:rsidRDefault="00B803CE" w:rsidP="00B803CE">
            <w:pPr>
              <w:rPr>
                <w:rFonts w:ascii="Arial" w:hAnsi="Arial" w:cs="Arial"/>
                <w:sz w:val="18"/>
                <w:szCs w:val="18"/>
              </w:rPr>
            </w:pPr>
            <w:r w:rsidRPr="00592BF9">
              <w:rPr>
                <w:rFonts w:ascii="Arial" w:hAnsi="Arial" w:cs="Arial"/>
                <w:sz w:val="18"/>
                <w:szCs w:val="18"/>
              </w:rPr>
              <w:t>Imp</w:t>
            </w:r>
            <w:r>
              <w:rPr>
                <w:rFonts w:ascii="Arial" w:hAnsi="Arial" w:cs="Arial"/>
                <w:sz w:val="18"/>
                <w:szCs w:val="18"/>
              </w:rPr>
              <w:t>uesto</w:t>
            </w:r>
            <w:r w:rsidRPr="00592BF9">
              <w:rPr>
                <w:rFonts w:ascii="Arial" w:hAnsi="Arial" w:cs="Arial"/>
                <w:sz w:val="18"/>
                <w:szCs w:val="18"/>
              </w:rPr>
              <w:t xml:space="preserve"> Especial Sobre Producci</w:t>
            </w:r>
            <w:r>
              <w:rPr>
                <w:rFonts w:ascii="Arial" w:hAnsi="Arial" w:cs="Arial"/>
                <w:sz w:val="18"/>
                <w:szCs w:val="18"/>
              </w:rPr>
              <w:t>ó</w:t>
            </w:r>
            <w:r w:rsidRPr="00592BF9">
              <w:rPr>
                <w:rFonts w:ascii="Arial" w:hAnsi="Arial" w:cs="Arial"/>
                <w:sz w:val="18"/>
                <w:szCs w:val="18"/>
              </w:rPr>
              <w:t>n y Serv</w:t>
            </w:r>
            <w:r>
              <w:rPr>
                <w:rFonts w:ascii="Arial" w:hAnsi="Arial" w:cs="Arial"/>
                <w:sz w:val="18"/>
                <w:szCs w:val="18"/>
              </w:rPr>
              <w:t>icios</w:t>
            </w:r>
            <w:r w:rsidRPr="00592BF9">
              <w:rPr>
                <w:rFonts w:ascii="Arial" w:hAnsi="Arial" w:cs="Arial"/>
                <w:sz w:val="18"/>
                <w:szCs w:val="18"/>
              </w:rPr>
              <w:t xml:space="preserve"> (IEPS)</w:t>
            </w:r>
          </w:p>
        </w:tc>
        <w:tc>
          <w:tcPr>
            <w:tcW w:w="2138" w:type="dxa"/>
            <w:vAlign w:val="bottom"/>
          </w:tcPr>
          <w:p w14:paraId="201AFFF0" w14:textId="3412A7B2" w:rsidR="00B803CE" w:rsidRPr="00B803CE" w:rsidRDefault="00B803CE" w:rsidP="00B803CE">
            <w:pPr>
              <w:jc w:val="right"/>
              <w:rPr>
                <w:rFonts w:ascii="Arial" w:hAnsi="Arial" w:cs="Arial"/>
                <w:noProof/>
                <w:sz w:val="18"/>
              </w:rPr>
            </w:pPr>
            <w:r w:rsidRPr="00B803CE">
              <w:rPr>
                <w:rFonts w:ascii="Arial" w:hAnsi="Arial" w:cs="Arial"/>
                <w:noProof/>
                <w:sz w:val="18"/>
              </w:rPr>
              <w:t xml:space="preserve"> 14,965,045.60 </w:t>
            </w:r>
          </w:p>
        </w:tc>
      </w:tr>
      <w:tr w:rsidR="00B803CE" w:rsidRPr="002972AA" w14:paraId="0EB336BE" w14:textId="77777777" w:rsidTr="00B803CE">
        <w:trPr>
          <w:trHeight w:val="227"/>
          <w:jc w:val="center"/>
        </w:trPr>
        <w:tc>
          <w:tcPr>
            <w:tcW w:w="8500" w:type="dxa"/>
          </w:tcPr>
          <w:p w14:paraId="51E3AAB2" w14:textId="243E5993" w:rsidR="00B803CE" w:rsidRPr="0019169A" w:rsidRDefault="00B803CE" w:rsidP="00B803CE">
            <w:pPr>
              <w:rPr>
                <w:rFonts w:ascii="Arial" w:hAnsi="Arial" w:cs="Arial"/>
                <w:sz w:val="18"/>
                <w:szCs w:val="18"/>
              </w:rPr>
            </w:pPr>
            <w:r w:rsidRPr="00592BF9">
              <w:rPr>
                <w:rFonts w:ascii="Arial" w:hAnsi="Arial" w:cs="Arial"/>
                <w:sz w:val="18"/>
                <w:szCs w:val="18"/>
              </w:rPr>
              <w:t>Incentivos derivados de Colaboraci</w:t>
            </w:r>
            <w:r>
              <w:rPr>
                <w:rFonts w:ascii="Arial" w:hAnsi="Arial" w:cs="Arial"/>
                <w:sz w:val="18"/>
                <w:szCs w:val="18"/>
              </w:rPr>
              <w:t>ó</w:t>
            </w:r>
            <w:r w:rsidRPr="00592BF9">
              <w:rPr>
                <w:rFonts w:ascii="Arial" w:hAnsi="Arial" w:cs="Arial"/>
                <w:sz w:val="18"/>
                <w:szCs w:val="18"/>
              </w:rPr>
              <w:t>n Fiscal</w:t>
            </w:r>
          </w:p>
        </w:tc>
        <w:tc>
          <w:tcPr>
            <w:tcW w:w="2138" w:type="dxa"/>
            <w:vAlign w:val="bottom"/>
          </w:tcPr>
          <w:p w14:paraId="2618564B" w14:textId="14A3D251" w:rsidR="00B803CE" w:rsidRPr="00B803CE" w:rsidRDefault="00B803CE" w:rsidP="00B803CE">
            <w:pPr>
              <w:jc w:val="right"/>
              <w:rPr>
                <w:rFonts w:ascii="Arial" w:hAnsi="Arial" w:cs="Arial"/>
                <w:noProof/>
                <w:sz w:val="18"/>
              </w:rPr>
            </w:pPr>
            <w:r w:rsidRPr="00B803CE">
              <w:rPr>
                <w:rFonts w:ascii="Arial" w:hAnsi="Arial" w:cs="Arial"/>
                <w:noProof/>
                <w:sz w:val="18"/>
              </w:rPr>
              <w:t xml:space="preserve"> 27,817,018.52 </w:t>
            </w:r>
          </w:p>
        </w:tc>
      </w:tr>
      <w:tr w:rsidR="00B803CE" w:rsidRPr="002972AA" w14:paraId="08B77515" w14:textId="77777777" w:rsidTr="00B803CE">
        <w:trPr>
          <w:trHeight w:val="227"/>
          <w:jc w:val="center"/>
        </w:trPr>
        <w:tc>
          <w:tcPr>
            <w:tcW w:w="8500" w:type="dxa"/>
          </w:tcPr>
          <w:p w14:paraId="06975E76" w14:textId="2ED52CE0" w:rsidR="00B803CE" w:rsidRPr="00592BF9" w:rsidRDefault="00B803CE" w:rsidP="00B803CE">
            <w:pPr>
              <w:rPr>
                <w:rFonts w:ascii="Arial" w:hAnsi="Arial" w:cs="Arial"/>
                <w:sz w:val="18"/>
                <w:szCs w:val="18"/>
              </w:rPr>
            </w:pPr>
            <w:r>
              <w:rPr>
                <w:rFonts w:ascii="Arial" w:hAnsi="Arial" w:cs="Arial"/>
                <w:sz w:val="18"/>
                <w:szCs w:val="18"/>
              </w:rPr>
              <w:t>Incentivo para venta final de gasolina y diésel</w:t>
            </w:r>
          </w:p>
        </w:tc>
        <w:tc>
          <w:tcPr>
            <w:tcW w:w="2138" w:type="dxa"/>
            <w:vAlign w:val="bottom"/>
          </w:tcPr>
          <w:p w14:paraId="780F9441" w14:textId="7AD36ADC" w:rsidR="00B803CE" w:rsidRPr="00B803CE" w:rsidRDefault="00B803CE" w:rsidP="00B803CE">
            <w:pPr>
              <w:jc w:val="right"/>
              <w:rPr>
                <w:rFonts w:ascii="Arial" w:hAnsi="Arial" w:cs="Arial"/>
                <w:noProof/>
                <w:sz w:val="18"/>
              </w:rPr>
            </w:pPr>
            <w:r w:rsidRPr="00B803CE">
              <w:rPr>
                <w:rFonts w:ascii="Arial" w:hAnsi="Arial" w:cs="Arial"/>
                <w:noProof/>
                <w:sz w:val="18"/>
              </w:rPr>
              <w:t xml:space="preserve"> 37,723,748.40 </w:t>
            </w:r>
          </w:p>
        </w:tc>
      </w:tr>
      <w:tr w:rsidR="00B803CE" w:rsidRPr="002972AA" w14:paraId="470F2840" w14:textId="77777777" w:rsidTr="00B803CE">
        <w:trPr>
          <w:trHeight w:val="227"/>
          <w:jc w:val="center"/>
        </w:trPr>
        <w:tc>
          <w:tcPr>
            <w:tcW w:w="8500" w:type="dxa"/>
          </w:tcPr>
          <w:p w14:paraId="30BE1F61" w14:textId="35C9CC97" w:rsidR="00B803CE" w:rsidRPr="00592BF9" w:rsidRDefault="00B803CE" w:rsidP="00B803CE">
            <w:pPr>
              <w:rPr>
                <w:rFonts w:ascii="Arial" w:hAnsi="Arial" w:cs="Arial"/>
                <w:sz w:val="18"/>
                <w:szCs w:val="18"/>
              </w:rPr>
            </w:pPr>
            <w:r>
              <w:rPr>
                <w:rFonts w:ascii="Arial" w:hAnsi="Arial" w:cs="Arial"/>
                <w:sz w:val="18"/>
                <w:szCs w:val="18"/>
              </w:rPr>
              <w:t>Fondo de Fiscalización</w:t>
            </w:r>
          </w:p>
        </w:tc>
        <w:tc>
          <w:tcPr>
            <w:tcW w:w="2138" w:type="dxa"/>
            <w:vAlign w:val="bottom"/>
          </w:tcPr>
          <w:p w14:paraId="08C6A0B0" w14:textId="65DE1183" w:rsidR="00B803CE" w:rsidRPr="00B803CE" w:rsidRDefault="00B803CE" w:rsidP="00B803CE">
            <w:pPr>
              <w:jc w:val="right"/>
              <w:rPr>
                <w:rFonts w:ascii="Arial" w:hAnsi="Arial" w:cs="Arial"/>
                <w:noProof/>
                <w:sz w:val="18"/>
              </w:rPr>
            </w:pPr>
            <w:r w:rsidRPr="00B803CE">
              <w:rPr>
                <w:rFonts w:ascii="Arial" w:hAnsi="Arial" w:cs="Arial"/>
                <w:noProof/>
                <w:sz w:val="18"/>
              </w:rPr>
              <w:t xml:space="preserve"> 61,374,087.95 </w:t>
            </w:r>
          </w:p>
        </w:tc>
      </w:tr>
      <w:tr w:rsidR="00B803CE" w:rsidRPr="002972AA" w14:paraId="1416C2BB" w14:textId="77777777" w:rsidTr="00B803CE">
        <w:trPr>
          <w:trHeight w:val="227"/>
          <w:jc w:val="center"/>
        </w:trPr>
        <w:tc>
          <w:tcPr>
            <w:tcW w:w="8500" w:type="dxa"/>
          </w:tcPr>
          <w:p w14:paraId="7AE9ADCE" w14:textId="24C5FA5C" w:rsidR="00B803CE" w:rsidRDefault="00B803CE" w:rsidP="00B803CE">
            <w:pPr>
              <w:rPr>
                <w:rFonts w:ascii="Arial" w:hAnsi="Arial" w:cs="Arial"/>
                <w:sz w:val="18"/>
                <w:szCs w:val="18"/>
              </w:rPr>
            </w:pPr>
            <w:r>
              <w:rPr>
                <w:rFonts w:ascii="Arial" w:hAnsi="Arial" w:cs="Arial"/>
                <w:sz w:val="18"/>
                <w:szCs w:val="18"/>
              </w:rPr>
              <w:t>Fondo de Compensación ISAN</w:t>
            </w:r>
          </w:p>
        </w:tc>
        <w:tc>
          <w:tcPr>
            <w:tcW w:w="2138" w:type="dxa"/>
            <w:vAlign w:val="bottom"/>
          </w:tcPr>
          <w:p w14:paraId="71BDA959" w14:textId="542B7C20" w:rsidR="00B803CE" w:rsidRPr="00B803CE" w:rsidRDefault="00B803CE" w:rsidP="00B803CE">
            <w:pPr>
              <w:jc w:val="right"/>
              <w:rPr>
                <w:rFonts w:ascii="Arial" w:hAnsi="Arial" w:cs="Arial"/>
                <w:noProof/>
                <w:sz w:val="18"/>
              </w:rPr>
            </w:pPr>
            <w:r w:rsidRPr="00B803CE">
              <w:rPr>
                <w:rFonts w:ascii="Arial" w:hAnsi="Arial" w:cs="Arial"/>
                <w:noProof/>
                <w:sz w:val="18"/>
              </w:rPr>
              <w:t xml:space="preserve"> 5,278,604.80 </w:t>
            </w:r>
          </w:p>
        </w:tc>
      </w:tr>
      <w:tr w:rsidR="00B803CE" w:rsidRPr="002972AA" w14:paraId="4E5C015D" w14:textId="77777777" w:rsidTr="00B803CE">
        <w:trPr>
          <w:trHeight w:val="227"/>
          <w:jc w:val="center"/>
        </w:trPr>
        <w:tc>
          <w:tcPr>
            <w:tcW w:w="8500" w:type="dxa"/>
          </w:tcPr>
          <w:p w14:paraId="747E39D4" w14:textId="1F0BB433" w:rsidR="00B803CE" w:rsidRDefault="00B803CE" w:rsidP="00B803CE">
            <w:pPr>
              <w:tabs>
                <w:tab w:val="left" w:pos="7309"/>
              </w:tabs>
              <w:rPr>
                <w:rFonts w:ascii="Arial" w:hAnsi="Arial" w:cs="Arial"/>
                <w:sz w:val="18"/>
                <w:szCs w:val="18"/>
              </w:rPr>
            </w:pPr>
            <w:r>
              <w:rPr>
                <w:rFonts w:ascii="Arial" w:hAnsi="Arial" w:cs="Arial"/>
                <w:sz w:val="18"/>
                <w:szCs w:val="18"/>
              </w:rPr>
              <w:t>Fondo General de Participaciones (FEIEF)</w:t>
            </w:r>
          </w:p>
        </w:tc>
        <w:tc>
          <w:tcPr>
            <w:tcW w:w="2138" w:type="dxa"/>
            <w:vAlign w:val="bottom"/>
          </w:tcPr>
          <w:p w14:paraId="297D7E1E" w14:textId="42D35CB3" w:rsidR="00B803CE" w:rsidRPr="00B803CE" w:rsidRDefault="00B803CE" w:rsidP="00B803CE">
            <w:pPr>
              <w:jc w:val="right"/>
              <w:rPr>
                <w:rFonts w:ascii="Arial" w:hAnsi="Arial" w:cs="Arial"/>
                <w:noProof/>
                <w:sz w:val="18"/>
              </w:rPr>
            </w:pPr>
            <w:r w:rsidRPr="00B803CE">
              <w:rPr>
                <w:rFonts w:ascii="Arial" w:hAnsi="Arial" w:cs="Arial"/>
                <w:noProof/>
                <w:sz w:val="18"/>
              </w:rPr>
              <w:t xml:space="preserve"> 376,372,978.81 </w:t>
            </w:r>
          </w:p>
        </w:tc>
      </w:tr>
      <w:tr w:rsidR="00B803CE" w:rsidRPr="002972AA" w14:paraId="643747B1" w14:textId="77777777" w:rsidTr="00B803CE">
        <w:trPr>
          <w:trHeight w:val="227"/>
          <w:jc w:val="center"/>
        </w:trPr>
        <w:tc>
          <w:tcPr>
            <w:tcW w:w="8500" w:type="dxa"/>
          </w:tcPr>
          <w:p w14:paraId="2BE2E69B" w14:textId="2A091893" w:rsidR="00B803CE" w:rsidRDefault="00B803CE" w:rsidP="00B803CE">
            <w:pPr>
              <w:tabs>
                <w:tab w:val="left" w:pos="7309"/>
              </w:tabs>
              <w:rPr>
                <w:rFonts w:ascii="Arial" w:hAnsi="Arial" w:cs="Arial"/>
                <w:sz w:val="18"/>
                <w:szCs w:val="18"/>
              </w:rPr>
            </w:pPr>
            <w:r w:rsidRPr="006B5370">
              <w:rPr>
                <w:rFonts w:ascii="Arial" w:hAnsi="Arial" w:cs="Arial"/>
                <w:sz w:val="18"/>
                <w:szCs w:val="18"/>
              </w:rPr>
              <w:t>Fondo de Fiscalización (FEIEF)</w:t>
            </w:r>
          </w:p>
        </w:tc>
        <w:tc>
          <w:tcPr>
            <w:tcW w:w="2138" w:type="dxa"/>
            <w:vAlign w:val="bottom"/>
          </w:tcPr>
          <w:p w14:paraId="3AB59C3B" w14:textId="01977E7D" w:rsidR="00B803CE" w:rsidRPr="00B803CE" w:rsidRDefault="00B803CE" w:rsidP="00B803CE">
            <w:pPr>
              <w:jc w:val="right"/>
              <w:rPr>
                <w:rFonts w:ascii="Arial" w:hAnsi="Arial" w:cs="Arial"/>
                <w:noProof/>
                <w:sz w:val="18"/>
              </w:rPr>
            </w:pPr>
            <w:r w:rsidRPr="00B803CE">
              <w:rPr>
                <w:rFonts w:ascii="Arial" w:hAnsi="Arial" w:cs="Arial"/>
                <w:noProof/>
                <w:sz w:val="18"/>
              </w:rPr>
              <w:t xml:space="preserve"> 138,034,131.60 </w:t>
            </w:r>
          </w:p>
        </w:tc>
      </w:tr>
      <w:tr w:rsidR="00B803CE" w:rsidRPr="002972AA" w14:paraId="620EF969" w14:textId="77777777" w:rsidTr="00B803CE">
        <w:trPr>
          <w:trHeight w:val="227"/>
          <w:jc w:val="center"/>
        </w:trPr>
        <w:tc>
          <w:tcPr>
            <w:tcW w:w="8500" w:type="dxa"/>
          </w:tcPr>
          <w:p w14:paraId="620EF966" w14:textId="2E3E37F7" w:rsidR="00B803CE" w:rsidRPr="0019169A" w:rsidRDefault="00B803CE" w:rsidP="00B803CE">
            <w:pPr>
              <w:rPr>
                <w:rFonts w:ascii="Arial" w:hAnsi="Arial" w:cs="Arial"/>
                <w:sz w:val="18"/>
                <w:szCs w:val="18"/>
              </w:rPr>
            </w:pPr>
            <w:r w:rsidRPr="0019169A">
              <w:rPr>
                <w:rFonts w:ascii="Arial" w:hAnsi="Arial" w:cs="Arial"/>
                <w:sz w:val="18"/>
                <w:szCs w:val="18"/>
              </w:rPr>
              <w:t>Fondo de aportaciones para los servicios de salud (FASSA)</w:t>
            </w:r>
            <w:r>
              <w:rPr>
                <w:rFonts w:ascii="Arial" w:hAnsi="Arial" w:cs="Arial"/>
                <w:sz w:val="18"/>
                <w:szCs w:val="18"/>
              </w:rPr>
              <w:t xml:space="preserve"> 2020.</w:t>
            </w:r>
          </w:p>
        </w:tc>
        <w:tc>
          <w:tcPr>
            <w:tcW w:w="2138" w:type="dxa"/>
            <w:vAlign w:val="bottom"/>
          </w:tcPr>
          <w:p w14:paraId="620EF967" w14:textId="3C0AF94B" w:rsidR="00B803CE" w:rsidRPr="00B803CE" w:rsidRDefault="00B803CE" w:rsidP="00B803CE">
            <w:pPr>
              <w:jc w:val="right"/>
              <w:rPr>
                <w:rFonts w:ascii="Arial" w:hAnsi="Arial" w:cs="Arial"/>
                <w:noProof/>
                <w:sz w:val="18"/>
              </w:rPr>
            </w:pPr>
            <w:r w:rsidRPr="00B803CE">
              <w:rPr>
                <w:rFonts w:ascii="Arial" w:hAnsi="Arial" w:cs="Arial"/>
                <w:noProof/>
                <w:sz w:val="18"/>
              </w:rPr>
              <w:t xml:space="preserve"> 1,799,934,863.71 </w:t>
            </w:r>
          </w:p>
        </w:tc>
      </w:tr>
      <w:tr w:rsidR="00B803CE" w:rsidRPr="00D24540" w14:paraId="3F3ABB12" w14:textId="77777777" w:rsidTr="00B803CE">
        <w:tblPrEx>
          <w:jc w:val="left"/>
        </w:tblPrEx>
        <w:trPr>
          <w:trHeight w:val="169"/>
        </w:trPr>
        <w:tc>
          <w:tcPr>
            <w:tcW w:w="8500" w:type="dxa"/>
            <w:hideMark/>
          </w:tcPr>
          <w:p w14:paraId="07D91473" w14:textId="23F5CD08" w:rsidR="00B803CE" w:rsidRPr="00D24540" w:rsidRDefault="00B803CE" w:rsidP="00B803CE">
            <w:pPr>
              <w:rPr>
                <w:rFonts w:ascii="Arial" w:hAnsi="Arial" w:cs="Arial"/>
                <w:sz w:val="18"/>
                <w:szCs w:val="18"/>
              </w:rPr>
            </w:pPr>
            <w:r w:rsidRPr="00D24540">
              <w:rPr>
                <w:rFonts w:ascii="Arial" w:hAnsi="Arial" w:cs="Arial"/>
                <w:sz w:val="18"/>
                <w:szCs w:val="18"/>
              </w:rPr>
              <w:t xml:space="preserve">Aportación liquida </w:t>
            </w:r>
            <w:r>
              <w:rPr>
                <w:rFonts w:ascii="Arial" w:hAnsi="Arial" w:cs="Arial"/>
                <w:sz w:val="18"/>
                <w:szCs w:val="18"/>
              </w:rPr>
              <w:t>E</w:t>
            </w:r>
            <w:r w:rsidRPr="00D24540">
              <w:rPr>
                <w:rFonts w:ascii="Arial" w:hAnsi="Arial" w:cs="Arial"/>
                <w:sz w:val="18"/>
                <w:szCs w:val="18"/>
              </w:rPr>
              <w:t>statal INSABI 2020</w:t>
            </w:r>
            <w:r>
              <w:rPr>
                <w:rFonts w:ascii="Arial" w:hAnsi="Arial" w:cs="Arial"/>
                <w:sz w:val="18"/>
                <w:szCs w:val="18"/>
              </w:rPr>
              <w:t>.</w:t>
            </w:r>
          </w:p>
        </w:tc>
        <w:tc>
          <w:tcPr>
            <w:tcW w:w="2138" w:type="dxa"/>
            <w:vAlign w:val="bottom"/>
            <w:hideMark/>
          </w:tcPr>
          <w:p w14:paraId="2DF2307B" w14:textId="3C49FE98" w:rsidR="00B803CE" w:rsidRPr="00B803CE" w:rsidRDefault="00B803CE" w:rsidP="00B803CE">
            <w:pPr>
              <w:jc w:val="right"/>
              <w:rPr>
                <w:rFonts w:ascii="Arial" w:hAnsi="Arial" w:cs="Arial"/>
                <w:noProof/>
                <w:sz w:val="18"/>
              </w:rPr>
            </w:pPr>
            <w:r w:rsidRPr="00B803CE">
              <w:rPr>
                <w:rFonts w:ascii="Arial" w:hAnsi="Arial" w:cs="Arial"/>
                <w:noProof/>
                <w:sz w:val="18"/>
              </w:rPr>
              <w:t xml:space="preserve"> 312,780,387.64 </w:t>
            </w:r>
          </w:p>
        </w:tc>
      </w:tr>
      <w:tr w:rsidR="00B803CE" w:rsidRPr="00D24540" w14:paraId="41102D1D" w14:textId="77777777" w:rsidTr="00B803CE">
        <w:tblPrEx>
          <w:jc w:val="left"/>
        </w:tblPrEx>
        <w:trPr>
          <w:trHeight w:val="230"/>
        </w:trPr>
        <w:tc>
          <w:tcPr>
            <w:tcW w:w="8500" w:type="dxa"/>
            <w:hideMark/>
          </w:tcPr>
          <w:p w14:paraId="4B2779F4" w14:textId="27C77EA1" w:rsidR="00B803CE" w:rsidRPr="00D24540" w:rsidRDefault="00B803CE" w:rsidP="00B803CE">
            <w:pPr>
              <w:rPr>
                <w:rFonts w:ascii="Arial" w:hAnsi="Arial" w:cs="Arial"/>
                <w:sz w:val="18"/>
                <w:szCs w:val="18"/>
              </w:rPr>
            </w:pPr>
            <w:r w:rsidRPr="00D24540">
              <w:rPr>
                <w:rFonts w:ascii="Arial" w:hAnsi="Arial" w:cs="Arial"/>
                <w:sz w:val="18"/>
                <w:szCs w:val="18"/>
              </w:rPr>
              <w:t xml:space="preserve">Fortalecimiento a la </w:t>
            </w:r>
            <w:r>
              <w:rPr>
                <w:rFonts w:ascii="Arial" w:hAnsi="Arial" w:cs="Arial"/>
                <w:sz w:val="18"/>
                <w:szCs w:val="18"/>
              </w:rPr>
              <w:t>A</w:t>
            </w:r>
            <w:r w:rsidRPr="00D24540">
              <w:rPr>
                <w:rFonts w:ascii="Arial" w:hAnsi="Arial" w:cs="Arial"/>
                <w:sz w:val="18"/>
                <w:szCs w:val="18"/>
              </w:rPr>
              <w:t xml:space="preserve">tención </w:t>
            </w:r>
            <w:r>
              <w:rPr>
                <w:rFonts w:ascii="Arial" w:hAnsi="Arial" w:cs="Arial"/>
                <w:sz w:val="18"/>
                <w:szCs w:val="18"/>
              </w:rPr>
              <w:t>M</w:t>
            </w:r>
            <w:r w:rsidRPr="00D24540">
              <w:rPr>
                <w:rFonts w:ascii="Arial" w:hAnsi="Arial" w:cs="Arial"/>
                <w:sz w:val="18"/>
                <w:szCs w:val="18"/>
              </w:rPr>
              <w:t>édica</w:t>
            </w:r>
            <w:r>
              <w:rPr>
                <w:rFonts w:ascii="Arial" w:hAnsi="Arial" w:cs="Arial"/>
                <w:sz w:val="18"/>
                <w:szCs w:val="18"/>
              </w:rPr>
              <w:t xml:space="preserve"> 2020.</w:t>
            </w:r>
          </w:p>
        </w:tc>
        <w:tc>
          <w:tcPr>
            <w:tcW w:w="2138" w:type="dxa"/>
            <w:vAlign w:val="bottom"/>
            <w:hideMark/>
          </w:tcPr>
          <w:p w14:paraId="447E6C5E" w14:textId="468D332F" w:rsidR="00B803CE" w:rsidRPr="00B803CE" w:rsidRDefault="00B803CE" w:rsidP="00B803CE">
            <w:pPr>
              <w:jc w:val="right"/>
              <w:rPr>
                <w:rFonts w:ascii="Arial" w:hAnsi="Arial" w:cs="Arial"/>
                <w:noProof/>
                <w:sz w:val="18"/>
              </w:rPr>
            </w:pPr>
            <w:r w:rsidRPr="00B803CE">
              <w:rPr>
                <w:rFonts w:ascii="Arial" w:hAnsi="Arial" w:cs="Arial"/>
                <w:noProof/>
                <w:sz w:val="18"/>
              </w:rPr>
              <w:t xml:space="preserve"> 7,893,841.18 </w:t>
            </w:r>
          </w:p>
        </w:tc>
      </w:tr>
      <w:tr w:rsidR="00B803CE" w:rsidRPr="00D24540" w14:paraId="0CDB7296" w14:textId="77777777" w:rsidTr="00B803CE">
        <w:tblPrEx>
          <w:jc w:val="left"/>
        </w:tblPrEx>
        <w:trPr>
          <w:trHeight w:val="133"/>
        </w:trPr>
        <w:tc>
          <w:tcPr>
            <w:tcW w:w="8500" w:type="dxa"/>
            <w:hideMark/>
          </w:tcPr>
          <w:p w14:paraId="249F78A5" w14:textId="2B51AE59" w:rsidR="00B803CE" w:rsidRPr="00D24540" w:rsidRDefault="00B803CE" w:rsidP="00B803CE">
            <w:pPr>
              <w:rPr>
                <w:rFonts w:ascii="Arial" w:hAnsi="Arial" w:cs="Arial"/>
                <w:sz w:val="18"/>
                <w:szCs w:val="18"/>
              </w:rPr>
            </w:pPr>
            <w:r w:rsidRPr="00D24540">
              <w:rPr>
                <w:rFonts w:ascii="Arial" w:hAnsi="Arial" w:cs="Arial"/>
                <w:sz w:val="18"/>
                <w:szCs w:val="18"/>
              </w:rPr>
              <w:t xml:space="preserve">FPGC </w:t>
            </w:r>
            <w:r>
              <w:rPr>
                <w:rFonts w:ascii="Arial" w:hAnsi="Arial" w:cs="Arial"/>
                <w:sz w:val="18"/>
                <w:szCs w:val="18"/>
              </w:rPr>
              <w:t>Sustitución O</w:t>
            </w:r>
            <w:r w:rsidRPr="00D24540">
              <w:rPr>
                <w:rFonts w:ascii="Arial" w:hAnsi="Arial" w:cs="Arial"/>
                <w:sz w:val="18"/>
                <w:szCs w:val="18"/>
              </w:rPr>
              <w:t>bra Hosp</w:t>
            </w:r>
            <w:r>
              <w:rPr>
                <w:rFonts w:ascii="Arial" w:hAnsi="Arial" w:cs="Arial"/>
                <w:sz w:val="18"/>
                <w:szCs w:val="18"/>
              </w:rPr>
              <w:t>ital Gene</w:t>
            </w:r>
            <w:r w:rsidRPr="00D24540">
              <w:rPr>
                <w:rFonts w:ascii="Arial" w:hAnsi="Arial" w:cs="Arial"/>
                <w:sz w:val="18"/>
                <w:szCs w:val="18"/>
              </w:rPr>
              <w:t xml:space="preserve">ral de </w:t>
            </w:r>
            <w:r>
              <w:rPr>
                <w:rFonts w:ascii="Arial" w:hAnsi="Arial" w:cs="Arial"/>
                <w:sz w:val="18"/>
                <w:szCs w:val="18"/>
              </w:rPr>
              <w:t>T</w:t>
            </w:r>
            <w:r w:rsidRPr="00D24540">
              <w:rPr>
                <w:rFonts w:ascii="Arial" w:hAnsi="Arial" w:cs="Arial"/>
                <w:sz w:val="18"/>
                <w:szCs w:val="18"/>
              </w:rPr>
              <w:t>lax</w:t>
            </w:r>
            <w:r>
              <w:rPr>
                <w:rFonts w:ascii="Arial" w:hAnsi="Arial" w:cs="Arial"/>
                <w:sz w:val="18"/>
                <w:szCs w:val="18"/>
              </w:rPr>
              <w:t>cala.</w:t>
            </w:r>
          </w:p>
        </w:tc>
        <w:tc>
          <w:tcPr>
            <w:tcW w:w="2138" w:type="dxa"/>
            <w:vAlign w:val="bottom"/>
            <w:hideMark/>
          </w:tcPr>
          <w:p w14:paraId="14E413E2" w14:textId="048E2C6A" w:rsidR="00B803CE" w:rsidRPr="00B803CE" w:rsidRDefault="00B803CE" w:rsidP="00B803CE">
            <w:pPr>
              <w:jc w:val="right"/>
              <w:rPr>
                <w:rFonts w:ascii="Arial" w:hAnsi="Arial" w:cs="Arial"/>
                <w:noProof/>
                <w:sz w:val="18"/>
              </w:rPr>
            </w:pPr>
            <w:r w:rsidRPr="00B803CE">
              <w:rPr>
                <w:rFonts w:ascii="Arial" w:hAnsi="Arial" w:cs="Arial"/>
                <w:noProof/>
                <w:sz w:val="18"/>
              </w:rPr>
              <w:t xml:space="preserve"> 107,652,221.04 </w:t>
            </w:r>
          </w:p>
        </w:tc>
      </w:tr>
      <w:tr w:rsidR="00B803CE" w:rsidRPr="00D24540" w14:paraId="56CD2645" w14:textId="77777777" w:rsidTr="00B803CE">
        <w:tblPrEx>
          <w:jc w:val="left"/>
        </w:tblPrEx>
        <w:trPr>
          <w:trHeight w:val="207"/>
        </w:trPr>
        <w:tc>
          <w:tcPr>
            <w:tcW w:w="8500" w:type="dxa"/>
            <w:hideMark/>
          </w:tcPr>
          <w:p w14:paraId="59C7A1C8" w14:textId="73D3DA4F" w:rsidR="00B803CE" w:rsidRPr="00D24540" w:rsidRDefault="00B803CE" w:rsidP="00B803CE">
            <w:pPr>
              <w:rPr>
                <w:rFonts w:ascii="Arial" w:hAnsi="Arial" w:cs="Arial"/>
                <w:sz w:val="18"/>
                <w:szCs w:val="18"/>
              </w:rPr>
            </w:pPr>
            <w:r w:rsidRPr="00D24540">
              <w:rPr>
                <w:rFonts w:ascii="Arial" w:hAnsi="Arial" w:cs="Arial"/>
                <w:sz w:val="18"/>
                <w:szCs w:val="18"/>
              </w:rPr>
              <w:t xml:space="preserve">INSABI </w:t>
            </w:r>
            <w:r>
              <w:rPr>
                <w:rFonts w:ascii="Arial" w:hAnsi="Arial" w:cs="Arial"/>
                <w:sz w:val="18"/>
                <w:szCs w:val="18"/>
              </w:rPr>
              <w:t>P</w:t>
            </w:r>
            <w:r w:rsidRPr="00D24540">
              <w:rPr>
                <w:rFonts w:ascii="Arial" w:hAnsi="Arial" w:cs="Arial"/>
                <w:sz w:val="18"/>
                <w:szCs w:val="18"/>
              </w:rPr>
              <w:t xml:space="preserve">restación </w:t>
            </w:r>
            <w:r>
              <w:rPr>
                <w:rFonts w:ascii="Arial" w:hAnsi="Arial" w:cs="Arial"/>
                <w:sz w:val="18"/>
                <w:szCs w:val="18"/>
              </w:rPr>
              <w:t>G</w:t>
            </w:r>
            <w:r w:rsidRPr="00D24540">
              <w:rPr>
                <w:rFonts w:ascii="Arial" w:hAnsi="Arial" w:cs="Arial"/>
                <w:sz w:val="18"/>
                <w:szCs w:val="18"/>
              </w:rPr>
              <w:t xml:space="preserve">ratuita </w:t>
            </w:r>
            <w:r>
              <w:rPr>
                <w:rFonts w:ascii="Arial" w:hAnsi="Arial" w:cs="Arial"/>
                <w:sz w:val="18"/>
                <w:szCs w:val="18"/>
              </w:rPr>
              <w:t>S</w:t>
            </w:r>
            <w:r w:rsidRPr="00D24540">
              <w:rPr>
                <w:rFonts w:ascii="Arial" w:hAnsi="Arial" w:cs="Arial"/>
                <w:sz w:val="18"/>
                <w:szCs w:val="18"/>
              </w:rPr>
              <w:t>erv</w:t>
            </w:r>
            <w:r>
              <w:rPr>
                <w:rFonts w:ascii="Arial" w:hAnsi="Arial" w:cs="Arial"/>
                <w:sz w:val="18"/>
                <w:szCs w:val="18"/>
              </w:rPr>
              <w:t>icios</w:t>
            </w:r>
            <w:r w:rsidRPr="00D24540">
              <w:rPr>
                <w:rFonts w:ascii="Arial" w:hAnsi="Arial" w:cs="Arial"/>
                <w:sz w:val="18"/>
                <w:szCs w:val="18"/>
              </w:rPr>
              <w:t xml:space="preserve"> </w:t>
            </w:r>
            <w:r>
              <w:rPr>
                <w:rFonts w:ascii="Arial" w:hAnsi="Arial" w:cs="Arial"/>
                <w:sz w:val="18"/>
                <w:szCs w:val="18"/>
              </w:rPr>
              <w:t>de S</w:t>
            </w:r>
            <w:r w:rsidRPr="00D24540">
              <w:rPr>
                <w:rFonts w:ascii="Arial" w:hAnsi="Arial" w:cs="Arial"/>
                <w:sz w:val="18"/>
                <w:szCs w:val="18"/>
              </w:rPr>
              <w:t xml:space="preserve">alud y demás </w:t>
            </w:r>
            <w:r>
              <w:rPr>
                <w:rFonts w:ascii="Arial" w:hAnsi="Arial" w:cs="Arial"/>
                <w:sz w:val="18"/>
                <w:szCs w:val="18"/>
              </w:rPr>
              <w:t>I</w:t>
            </w:r>
            <w:r w:rsidRPr="00D24540">
              <w:rPr>
                <w:rFonts w:ascii="Arial" w:hAnsi="Arial" w:cs="Arial"/>
                <w:sz w:val="18"/>
                <w:szCs w:val="18"/>
              </w:rPr>
              <w:t xml:space="preserve">nsumos </w:t>
            </w:r>
          </w:p>
        </w:tc>
        <w:tc>
          <w:tcPr>
            <w:tcW w:w="2138" w:type="dxa"/>
            <w:vAlign w:val="bottom"/>
            <w:hideMark/>
          </w:tcPr>
          <w:p w14:paraId="5A9665D3" w14:textId="0DDE2F9A" w:rsidR="00B803CE" w:rsidRPr="00B803CE" w:rsidRDefault="00B803CE" w:rsidP="00B803CE">
            <w:pPr>
              <w:jc w:val="right"/>
              <w:rPr>
                <w:rFonts w:ascii="Arial" w:hAnsi="Arial" w:cs="Arial"/>
                <w:noProof/>
                <w:sz w:val="18"/>
              </w:rPr>
            </w:pPr>
            <w:r w:rsidRPr="00B803CE">
              <w:rPr>
                <w:rFonts w:ascii="Arial" w:hAnsi="Arial" w:cs="Arial"/>
                <w:noProof/>
                <w:sz w:val="18"/>
              </w:rPr>
              <w:t xml:space="preserve"> 620,822,718.58 </w:t>
            </w:r>
          </w:p>
        </w:tc>
      </w:tr>
      <w:tr w:rsidR="00B803CE" w:rsidRPr="00D24540" w14:paraId="5DA20257" w14:textId="77777777" w:rsidTr="00B803CE">
        <w:tblPrEx>
          <w:jc w:val="left"/>
        </w:tblPrEx>
        <w:trPr>
          <w:trHeight w:val="139"/>
        </w:trPr>
        <w:tc>
          <w:tcPr>
            <w:tcW w:w="8500" w:type="dxa"/>
            <w:hideMark/>
          </w:tcPr>
          <w:p w14:paraId="1741FE02" w14:textId="60893463" w:rsidR="00B803CE" w:rsidRPr="00D24540" w:rsidRDefault="00B803CE" w:rsidP="00B803CE">
            <w:pPr>
              <w:rPr>
                <w:rFonts w:ascii="Arial" w:hAnsi="Arial" w:cs="Arial"/>
                <w:sz w:val="18"/>
                <w:szCs w:val="18"/>
              </w:rPr>
            </w:pPr>
            <w:r w:rsidRPr="00D24540">
              <w:rPr>
                <w:rFonts w:ascii="Arial" w:hAnsi="Arial" w:cs="Arial"/>
                <w:sz w:val="18"/>
                <w:szCs w:val="18"/>
              </w:rPr>
              <w:t>At</w:t>
            </w:r>
            <w:r>
              <w:rPr>
                <w:rFonts w:ascii="Arial" w:hAnsi="Arial" w:cs="Arial"/>
                <w:sz w:val="18"/>
                <w:szCs w:val="18"/>
              </w:rPr>
              <w:t>ención</w:t>
            </w:r>
            <w:r w:rsidRPr="00D24540">
              <w:rPr>
                <w:rFonts w:ascii="Arial" w:hAnsi="Arial" w:cs="Arial"/>
                <w:sz w:val="18"/>
                <w:szCs w:val="18"/>
              </w:rPr>
              <w:t xml:space="preserve"> </w:t>
            </w:r>
            <w:r>
              <w:rPr>
                <w:rFonts w:ascii="Arial" w:hAnsi="Arial" w:cs="Arial"/>
                <w:sz w:val="18"/>
                <w:szCs w:val="18"/>
              </w:rPr>
              <w:t>a la S</w:t>
            </w:r>
            <w:r w:rsidRPr="00D24540">
              <w:rPr>
                <w:rFonts w:ascii="Arial" w:hAnsi="Arial" w:cs="Arial"/>
                <w:sz w:val="18"/>
                <w:szCs w:val="18"/>
              </w:rPr>
              <w:t xml:space="preserve">alud y </w:t>
            </w:r>
            <w:r>
              <w:rPr>
                <w:rFonts w:ascii="Arial" w:hAnsi="Arial" w:cs="Arial"/>
                <w:sz w:val="18"/>
                <w:szCs w:val="18"/>
              </w:rPr>
              <w:t>M</w:t>
            </w:r>
            <w:r w:rsidRPr="00D24540">
              <w:rPr>
                <w:rFonts w:ascii="Arial" w:hAnsi="Arial" w:cs="Arial"/>
                <w:sz w:val="18"/>
                <w:szCs w:val="18"/>
              </w:rPr>
              <w:t>ed</w:t>
            </w:r>
            <w:r>
              <w:rPr>
                <w:rFonts w:ascii="Arial" w:hAnsi="Arial" w:cs="Arial"/>
                <w:sz w:val="18"/>
                <w:szCs w:val="18"/>
              </w:rPr>
              <w:t>icamentos</w:t>
            </w:r>
            <w:r w:rsidRPr="00D24540">
              <w:rPr>
                <w:rFonts w:ascii="Arial" w:hAnsi="Arial" w:cs="Arial"/>
                <w:sz w:val="18"/>
                <w:szCs w:val="18"/>
              </w:rPr>
              <w:t xml:space="preserve"> </w:t>
            </w:r>
            <w:r>
              <w:rPr>
                <w:rFonts w:ascii="Arial" w:hAnsi="Arial" w:cs="Arial"/>
                <w:sz w:val="18"/>
                <w:szCs w:val="18"/>
              </w:rPr>
              <w:t>G</w:t>
            </w:r>
            <w:r w:rsidRPr="00D24540">
              <w:rPr>
                <w:rFonts w:ascii="Arial" w:hAnsi="Arial" w:cs="Arial"/>
                <w:sz w:val="18"/>
                <w:szCs w:val="18"/>
              </w:rPr>
              <w:t>ratuitos p</w:t>
            </w:r>
            <w:r>
              <w:rPr>
                <w:rFonts w:ascii="Arial" w:hAnsi="Arial" w:cs="Arial"/>
                <w:sz w:val="18"/>
                <w:szCs w:val="18"/>
              </w:rPr>
              <w:t>ara</w:t>
            </w:r>
            <w:r w:rsidRPr="00D24540">
              <w:rPr>
                <w:rFonts w:ascii="Arial" w:hAnsi="Arial" w:cs="Arial"/>
                <w:sz w:val="18"/>
                <w:szCs w:val="18"/>
              </w:rPr>
              <w:t xml:space="preserve"> </w:t>
            </w:r>
            <w:r>
              <w:rPr>
                <w:rFonts w:ascii="Arial" w:hAnsi="Arial" w:cs="Arial"/>
                <w:sz w:val="18"/>
                <w:szCs w:val="18"/>
              </w:rPr>
              <w:t>la P</w:t>
            </w:r>
            <w:r w:rsidRPr="00D24540">
              <w:rPr>
                <w:rFonts w:ascii="Arial" w:hAnsi="Arial" w:cs="Arial"/>
                <w:sz w:val="18"/>
                <w:szCs w:val="18"/>
              </w:rPr>
              <w:t xml:space="preserve">oblación sin </w:t>
            </w:r>
            <w:r>
              <w:rPr>
                <w:rFonts w:ascii="Arial" w:hAnsi="Arial" w:cs="Arial"/>
                <w:sz w:val="18"/>
                <w:szCs w:val="18"/>
              </w:rPr>
              <w:t>S</w:t>
            </w:r>
            <w:r w:rsidRPr="00D24540">
              <w:rPr>
                <w:rFonts w:ascii="Arial" w:hAnsi="Arial" w:cs="Arial"/>
                <w:sz w:val="18"/>
                <w:szCs w:val="18"/>
              </w:rPr>
              <w:t>eg</w:t>
            </w:r>
            <w:r>
              <w:rPr>
                <w:rFonts w:ascii="Arial" w:hAnsi="Arial" w:cs="Arial"/>
                <w:sz w:val="18"/>
                <w:szCs w:val="18"/>
              </w:rPr>
              <w:t>uridad</w:t>
            </w:r>
            <w:r w:rsidRPr="00D24540">
              <w:rPr>
                <w:rFonts w:ascii="Arial" w:hAnsi="Arial" w:cs="Arial"/>
                <w:sz w:val="18"/>
                <w:szCs w:val="18"/>
              </w:rPr>
              <w:t xml:space="preserve"> </w:t>
            </w:r>
            <w:r>
              <w:rPr>
                <w:rFonts w:ascii="Arial" w:hAnsi="Arial" w:cs="Arial"/>
                <w:sz w:val="18"/>
                <w:szCs w:val="18"/>
              </w:rPr>
              <w:t>S</w:t>
            </w:r>
            <w:r w:rsidRPr="00D24540">
              <w:rPr>
                <w:rFonts w:ascii="Arial" w:hAnsi="Arial" w:cs="Arial"/>
                <w:sz w:val="18"/>
                <w:szCs w:val="18"/>
              </w:rPr>
              <w:t xml:space="preserve">ocial </w:t>
            </w:r>
            <w:r>
              <w:rPr>
                <w:rFonts w:ascii="Arial" w:hAnsi="Arial" w:cs="Arial"/>
                <w:sz w:val="18"/>
                <w:szCs w:val="18"/>
              </w:rPr>
              <w:t>L</w:t>
            </w:r>
            <w:r w:rsidRPr="00D24540">
              <w:rPr>
                <w:rFonts w:ascii="Arial" w:hAnsi="Arial" w:cs="Arial"/>
                <w:sz w:val="18"/>
                <w:szCs w:val="18"/>
              </w:rPr>
              <w:t>ab</w:t>
            </w:r>
            <w:r>
              <w:rPr>
                <w:rFonts w:ascii="Arial" w:hAnsi="Arial" w:cs="Arial"/>
                <w:sz w:val="18"/>
                <w:szCs w:val="18"/>
              </w:rPr>
              <w:t>oral.</w:t>
            </w:r>
            <w:r w:rsidRPr="00D24540">
              <w:rPr>
                <w:rFonts w:ascii="Arial" w:hAnsi="Arial" w:cs="Arial"/>
                <w:sz w:val="18"/>
                <w:szCs w:val="18"/>
              </w:rPr>
              <w:t xml:space="preserve"> (</w:t>
            </w:r>
            <w:r>
              <w:rPr>
                <w:rFonts w:ascii="Arial" w:hAnsi="Arial" w:cs="Arial"/>
                <w:sz w:val="18"/>
                <w:szCs w:val="18"/>
              </w:rPr>
              <w:t>U</w:t>
            </w:r>
            <w:r w:rsidRPr="00D24540">
              <w:rPr>
                <w:rFonts w:ascii="Arial" w:hAnsi="Arial" w:cs="Arial"/>
                <w:sz w:val="18"/>
                <w:szCs w:val="18"/>
              </w:rPr>
              <w:t>013)</w:t>
            </w:r>
          </w:p>
        </w:tc>
        <w:tc>
          <w:tcPr>
            <w:tcW w:w="2138" w:type="dxa"/>
            <w:vAlign w:val="bottom"/>
            <w:hideMark/>
          </w:tcPr>
          <w:p w14:paraId="59BA5D81" w14:textId="459DDDF5" w:rsidR="00B803CE" w:rsidRPr="00B803CE" w:rsidRDefault="00B803CE" w:rsidP="00B803CE">
            <w:pPr>
              <w:jc w:val="right"/>
              <w:rPr>
                <w:rFonts w:ascii="Arial" w:hAnsi="Arial" w:cs="Arial"/>
                <w:noProof/>
                <w:sz w:val="18"/>
              </w:rPr>
            </w:pPr>
            <w:r w:rsidRPr="00B803CE">
              <w:rPr>
                <w:rFonts w:ascii="Arial" w:hAnsi="Arial" w:cs="Arial"/>
                <w:noProof/>
                <w:sz w:val="18"/>
              </w:rPr>
              <w:t xml:space="preserve"> 47,276,030.00 </w:t>
            </w:r>
          </w:p>
        </w:tc>
      </w:tr>
      <w:tr w:rsidR="00B803CE" w:rsidRPr="00D24540" w14:paraId="218C2EE9" w14:textId="77777777" w:rsidTr="00B803CE">
        <w:tblPrEx>
          <w:jc w:val="left"/>
        </w:tblPrEx>
        <w:trPr>
          <w:trHeight w:val="199"/>
        </w:trPr>
        <w:tc>
          <w:tcPr>
            <w:tcW w:w="8500" w:type="dxa"/>
            <w:hideMark/>
          </w:tcPr>
          <w:p w14:paraId="2B40B3B3" w14:textId="78A64E9C" w:rsidR="00B803CE" w:rsidRPr="00D24540" w:rsidRDefault="00B803CE" w:rsidP="00B803CE">
            <w:pPr>
              <w:rPr>
                <w:rFonts w:ascii="Arial" w:hAnsi="Arial" w:cs="Arial"/>
                <w:sz w:val="18"/>
                <w:szCs w:val="18"/>
              </w:rPr>
            </w:pPr>
            <w:r w:rsidRPr="00D24540">
              <w:rPr>
                <w:rFonts w:ascii="Arial" w:hAnsi="Arial" w:cs="Arial"/>
                <w:sz w:val="18"/>
                <w:szCs w:val="18"/>
              </w:rPr>
              <w:t>Gasto de operación CS y ASF</w:t>
            </w:r>
            <w:r>
              <w:rPr>
                <w:rFonts w:ascii="Arial" w:hAnsi="Arial" w:cs="Arial"/>
                <w:sz w:val="18"/>
                <w:szCs w:val="18"/>
              </w:rPr>
              <w:t xml:space="preserve"> 2019.</w:t>
            </w:r>
          </w:p>
        </w:tc>
        <w:tc>
          <w:tcPr>
            <w:tcW w:w="2138" w:type="dxa"/>
            <w:vAlign w:val="bottom"/>
            <w:hideMark/>
          </w:tcPr>
          <w:p w14:paraId="6C3AA9AC" w14:textId="4AD09DFE" w:rsidR="00B803CE" w:rsidRPr="00B803CE" w:rsidRDefault="00B803CE" w:rsidP="00B803CE">
            <w:pPr>
              <w:jc w:val="right"/>
              <w:rPr>
                <w:rFonts w:ascii="Arial" w:hAnsi="Arial" w:cs="Arial"/>
                <w:noProof/>
                <w:sz w:val="18"/>
              </w:rPr>
            </w:pPr>
            <w:r>
              <w:rPr>
                <w:rFonts w:ascii="Arial" w:hAnsi="Arial" w:cs="Arial"/>
                <w:noProof/>
                <w:sz w:val="18"/>
              </w:rPr>
              <w:t>0.00</w:t>
            </w:r>
          </w:p>
        </w:tc>
      </w:tr>
      <w:tr w:rsidR="00B803CE" w:rsidRPr="002972AA" w14:paraId="51E6205A" w14:textId="77777777" w:rsidTr="00B803CE">
        <w:trPr>
          <w:trHeight w:val="227"/>
          <w:jc w:val="center"/>
        </w:trPr>
        <w:tc>
          <w:tcPr>
            <w:tcW w:w="8500" w:type="dxa"/>
          </w:tcPr>
          <w:p w14:paraId="03522054" w14:textId="3CFAA048" w:rsidR="00B803CE" w:rsidRDefault="00B803CE" w:rsidP="00B803CE">
            <w:pPr>
              <w:rPr>
                <w:rFonts w:ascii="Arial" w:hAnsi="Arial" w:cs="Arial"/>
                <w:sz w:val="18"/>
                <w:szCs w:val="18"/>
              </w:rPr>
            </w:pPr>
            <w:r w:rsidRPr="00592BF9">
              <w:rPr>
                <w:rFonts w:ascii="Arial" w:hAnsi="Arial" w:cs="Arial"/>
                <w:sz w:val="18"/>
                <w:szCs w:val="18"/>
              </w:rPr>
              <w:lastRenderedPageBreak/>
              <w:t>Aportación Solidaria Estatal (G</w:t>
            </w:r>
            <w:r w:rsidR="00323DA4">
              <w:rPr>
                <w:rFonts w:ascii="Arial" w:hAnsi="Arial" w:cs="Arial"/>
                <w:sz w:val="18"/>
                <w:szCs w:val="18"/>
              </w:rPr>
              <w:t xml:space="preserve">asto de </w:t>
            </w:r>
            <w:r w:rsidRPr="00592BF9">
              <w:rPr>
                <w:rFonts w:ascii="Arial" w:hAnsi="Arial" w:cs="Arial"/>
                <w:sz w:val="18"/>
                <w:szCs w:val="18"/>
              </w:rPr>
              <w:t>Op</w:t>
            </w:r>
            <w:r w:rsidR="00323DA4">
              <w:rPr>
                <w:rFonts w:ascii="Arial" w:hAnsi="Arial" w:cs="Arial"/>
                <w:sz w:val="18"/>
                <w:szCs w:val="18"/>
              </w:rPr>
              <w:t>eración</w:t>
            </w:r>
            <w:r w:rsidRPr="00592BF9">
              <w:rPr>
                <w:rFonts w:ascii="Arial" w:hAnsi="Arial" w:cs="Arial"/>
                <w:sz w:val="18"/>
                <w:szCs w:val="18"/>
              </w:rPr>
              <w:t>)</w:t>
            </w:r>
          </w:p>
        </w:tc>
        <w:tc>
          <w:tcPr>
            <w:tcW w:w="2138" w:type="dxa"/>
            <w:vAlign w:val="bottom"/>
          </w:tcPr>
          <w:p w14:paraId="00AEEDD1" w14:textId="39695AB7" w:rsidR="00B803CE" w:rsidRPr="00B803CE" w:rsidRDefault="00B803CE" w:rsidP="00B803CE">
            <w:pPr>
              <w:jc w:val="right"/>
              <w:rPr>
                <w:rFonts w:ascii="Arial" w:hAnsi="Arial" w:cs="Arial"/>
                <w:noProof/>
                <w:sz w:val="18"/>
              </w:rPr>
            </w:pPr>
            <w:r w:rsidRPr="00B803CE">
              <w:rPr>
                <w:rFonts w:ascii="Arial" w:hAnsi="Arial" w:cs="Arial"/>
                <w:noProof/>
                <w:sz w:val="18"/>
              </w:rPr>
              <w:t xml:space="preserve"> 469,802.43 </w:t>
            </w:r>
          </w:p>
        </w:tc>
      </w:tr>
      <w:tr w:rsidR="00B803CE" w:rsidRPr="002972AA" w14:paraId="552B6496" w14:textId="77777777" w:rsidTr="00B803CE">
        <w:trPr>
          <w:trHeight w:val="227"/>
          <w:jc w:val="center"/>
        </w:trPr>
        <w:tc>
          <w:tcPr>
            <w:tcW w:w="8500" w:type="dxa"/>
          </w:tcPr>
          <w:p w14:paraId="47389975" w14:textId="13DF2CC2" w:rsidR="00B803CE" w:rsidRDefault="00B803CE" w:rsidP="00B803CE">
            <w:pPr>
              <w:rPr>
                <w:rFonts w:ascii="Arial" w:hAnsi="Arial" w:cs="Arial"/>
                <w:sz w:val="18"/>
                <w:szCs w:val="18"/>
              </w:rPr>
            </w:pPr>
            <w:r w:rsidRPr="00592BF9">
              <w:rPr>
                <w:rFonts w:ascii="Arial" w:hAnsi="Arial" w:cs="Arial"/>
                <w:sz w:val="18"/>
                <w:szCs w:val="18"/>
              </w:rPr>
              <w:t>INSABI Seguro Médico Siglo XXI</w:t>
            </w:r>
          </w:p>
        </w:tc>
        <w:tc>
          <w:tcPr>
            <w:tcW w:w="2138" w:type="dxa"/>
            <w:vAlign w:val="bottom"/>
          </w:tcPr>
          <w:p w14:paraId="61640547" w14:textId="711AB80F" w:rsidR="00B803CE" w:rsidRPr="00B803CE" w:rsidRDefault="00B803CE" w:rsidP="00B803CE">
            <w:pPr>
              <w:jc w:val="right"/>
              <w:rPr>
                <w:rFonts w:ascii="Arial" w:hAnsi="Arial" w:cs="Arial"/>
                <w:noProof/>
                <w:sz w:val="18"/>
              </w:rPr>
            </w:pPr>
            <w:r w:rsidRPr="00B803CE">
              <w:rPr>
                <w:rFonts w:ascii="Arial" w:hAnsi="Arial" w:cs="Arial"/>
                <w:noProof/>
                <w:sz w:val="18"/>
              </w:rPr>
              <w:t xml:space="preserve"> 4,683,567.74 </w:t>
            </w:r>
          </w:p>
        </w:tc>
      </w:tr>
      <w:tr w:rsidR="00B803CE" w:rsidRPr="002972AA" w14:paraId="1A548BF0" w14:textId="77777777" w:rsidTr="00B803CE">
        <w:trPr>
          <w:trHeight w:val="227"/>
          <w:jc w:val="center"/>
        </w:trPr>
        <w:tc>
          <w:tcPr>
            <w:tcW w:w="8500" w:type="dxa"/>
          </w:tcPr>
          <w:p w14:paraId="2497C865" w14:textId="0F27377A" w:rsidR="00B803CE" w:rsidRPr="00592BF9" w:rsidRDefault="00B803CE" w:rsidP="00B803CE">
            <w:pPr>
              <w:rPr>
                <w:rFonts w:ascii="Arial" w:hAnsi="Arial" w:cs="Arial"/>
                <w:sz w:val="18"/>
                <w:szCs w:val="18"/>
              </w:rPr>
            </w:pPr>
            <w:r w:rsidRPr="00592BF9">
              <w:rPr>
                <w:rFonts w:ascii="Arial" w:hAnsi="Arial" w:cs="Arial"/>
                <w:sz w:val="18"/>
                <w:szCs w:val="18"/>
              </w:rPr>
              <w:t>Prevenci</w:t>
            </w:r>
            <w:r>
              <w:rPr>
                <w:rFonts w:ascii="Arial" w:hAnsi="Arial" w:cs="Arial"/>
                <w:sz w:val="18"/>
                <w:szCs w:val="18"/>
              </w:rPr>
              <w:t>ó</w:t>
            </w:r>
            <w:r w:rsidRPr="00592BF9">
              <w:rPr>
                <w:rFonts w:ascii="Arial" w:hAnsi="Arial" w:cs="Arial"/>
                <w:sz w:val="18"/>
                <w:szCs w:val="18"/>
              </w:rPr>
              <w:t>n y Tratamiento a las Adicciones 2020</w:t>
            </w:r>
          </w:p>
        </w:tc>
        <w:tc>
          <w:tcPr>
            <w:tcW w:w="2138" w:type="dxa"/>
            <w:vAlign w:val="bottom"/>
          </w:tcPr>
          <w:p w14:paraId="6DEF8F2C" w14:textId="7F587BF7" w:rsidR="00B803CE" w:rsidRPr="00B803CE" w:rsidRDefault="00B803CE" w:rsidP="00B803CE">
            <w:pPr>
              <w:jc w:val="right"/>
              <w:rPr>
                <w:rFonts w:ascii="Arial" w:hAnsi="Arial" w:cs="Arial"/>
                <w:noProof/>
                <w:sz w:val="18"/>
              </w:rPr>
            </w:pPr>
            <w:r w:rsidRPr="00B803CE">
              <w:rPr>
                <w:rFonts w:ascii="Arial" w:hAnsi="Arial" w:cs="Arial"/>
                <w:noProof/>
                <w:sz w:val="18"/>
              </w:rPr>
              <w:t xml:space="preserve"> 2,163,723.00 </w:t>
            </w:r>
          </w:p>
        </w:tc>
      </w:tr>
      <w:tr w:rsidR="00B803CE" w:rsidRPr="002972AA" w14:paraId="2AA799DA" w14:textId="77777777" w:rsidTr="00B803CE">
        <w:trPr>
          <w:trHeight w:val="227"/>
          <w:jc w:val="center"/>
        </w:trPr>
        <w:tc>
          <w:tcPr>
            <w:tcW w:w="8500" w:type="dxa"/>
          </w:tcPr>
          <w:p w14:paraId="0B2A28FA" w14:textId="18F8CC71" w:rsidR="00B803CE" w:rsidRPr="00592BF9" w:rsidRDefault="00B803CE" w:rsidP="00B803CE">
            <w:pPr>
              <w:rPr>
                <w:rFonts w:ascii="Arial" w:hAnsi="Arial" w:cs="Arial"/>
                <w:sz w:val="18"/>
                <w:szCs w:val="18"/>
              </w:rPr>
            </w:pPr>
            <w:r>
              <w:rPr>
                <w:rFonts w:ascii="Arial" w:hAnsi="Arial" w:cs="Arial"/>
                <w:sz w:val="18"/>
                <w:szCs w:val="18"/>
              </w:rPr>
              <w:t>P</w:t>
            </w:r>
            <w:r w:rsidRPr="00C50767">
              <w:rPr>
                <w:rFonts w:ascii="Arial" w:hAnsi="Arial" w:cs="Arial"/>
                <w:sz w:val="18"/>
                <w:szCs w:val="18"/>
              </w:rPr>
              <w:t>ROAGUA Agua Limpia Emergente</w:t>
            </w:r>
          </w:p>
        </w:tc>
        <w:tc>
          <w:tcPr>
            <w:tcW w:w="2138" w:type="dxa"/>
            <w:vAlign w:val="bottom"/>
          </w:tcPr>
          <w:p w14:paraId="6B72B571" w14:textId="7CEFEE53" w:rsidR="00B803CE" w:rsidRPr="00B803CE" w:rsidRDefault="00B803CE" w:rsidP="00B803CE">
            <w:pPr>
              <w:jc w:val="right"/>
              <w:rPr>
                <w:rFonts w:ascii="Arial" w:hAnsi="Arial" w:cs="Arial"/>
                <w:noProof/>
                <w:sz w:val="18"/>
              </w:rPr>
            </w:pPr>
            <w:r w:rsidRPr="00B803CE">
              <w:rPr>
                <w:rFonts w:ascii="Arial" w:hAnsi="Arial" w:cs="Arial"/>
                <w:noProof/>
                <w:sz w:val="18"/>
              </w:rPr>
              <w:t xml:space="preserve"> 3,980,663.86 </w:t>
            </w:r>
          </w:p>
        </w:tc>
      </w:tr>
      <w:tr w:rsidR="00B803CE" w:rsidRPr="002972AA" w14:paraId="7E2D6B8B" w14:textId="77777777" w:rsidTr="00B803CE">
        <w:trPr>
          <w:trHeight w:val="227"/>
          <w:jc w:val="center"/>
        </w:trPr>
        <w:tc>
          <w:tcPr>
            <w:tcW w:w="8500" w:type="dxa"/>
          </w:tcPr>
          <w:p w14:paraId="20CDB9DF" w14:textId="3CF6AA0E" w:rsidR="00B803CE" w:rsidRPr="00592BF9" w:rsidRDefault="00B803CE" w:rsidP="00B803CE">
            <w:pPr>
              <w:rPr>
                <w:rFonts w:ascii="Arial" w:hAnsi="Arial" w:cs="Arial"/>
                <w:sz w:val="18"/>
                <w:szCs w:val="18"/>
              </w:rPr>
            </w:pPr>
            <w:r w:rsidRPr="00C50767">
              <w:rPr>
                <w:rFonts w:ascii="Arial" w:hAnsi="Arial" w:cs="Arial"/>
                <w:sz w:val="18"/>
                <w:szCs w:val="18"/>
              </w:rPr>
              <w:t>PROAGUA</w:t>
            </w:r>
          </w:p>
        </w:tc>
        <w:tc>
          <w:tcPr>
            <w:tcW w:w="2138" w:type="dxa"/>
            <w:vAlign w:val="bottom"/>
          </w:tcPr>
          <w:p w14:paraId="0F605870" w14:textId="059D3EF5" w:rsidR="00B803CE" w:rsidRPr="00B803CE" w:rsidRDefault="00B803CE" w:rsidP="00B803CE">
            <w:pPr>
              <w:jc w:val="right"/>
              <w:rPr>
                <w:rFonts w:ascii="Arial" w:hAnsi="Arial" w:cs="Arial"/>
                <w:noProof/>
                <w:sz w:val="18"/>
              </w:rPr>
            </w:pPr>
            <w:r w:rsidRPr="00B803CE">
              <w:rPr>
                <w:rFonts w:ascii="Arial" w:hAnsi="Arial" w:cs="Arial"/>
                <w:noProof/>
                <w:sz w:val="18"/>
              </w:rPr>
              <w:t xml:space="preserve"> 236,363.00 </w:t>
            </w:r>
          </w:p>
        </w:tc>
      </w:tr>
      <w:tr w:rsidR="00B803CE" w:rsidRPr="002972AA" w14:paraId="14C0372F" w14:textId="77777777" w:rsidTr="00B803CE">
        <w:trPr>
          <w:trHeight w:val="227"/>
          <w:jc w:val="center"/>
        </w:trPr>
        <w:tc>
          <w:tcPr>
            <w:tcW w:w="8500" w:type="dxa"/>
          </w:tcPr>
          <w:p w14:paraId="5516144C" w14:textId="1F759C91" w:rsidR="00B803CE" w:rsidRPr="00C50767" w:rsidRDefault="00B803CE" w:rsidP="00B803CE">
            <w:pPr>
              <w:rPr>
                <w:rFonts w:ascii="Arial" w:hAnsi="Arial" w:cs="Arial"/>
                <w:sz w:val="18"/>
                <w:szCs w:val="18"/>
              </w:rPr>
            </w:pPr>
            <w:r w:rsidRPr="006B5370">
              <w:rPr>
                <w:rFonts w:ascii="Arial" w:hAnsi="Arial" w:cs="Arial"/>
                <w:sz w:val="18"/>
                <w:szCs w:val="18"/>
              </w:rPr>
              <w:t>CEMTR-COFEPRIS</w:t>
            </w:r>
          </w:p>
        </w:tc>
        <w:tc>
          <w:tcPr>
            <w:tcW w:w="2138" w:type="dxa"/>
            <w:vAlign w:val="bottom"/>
          </w:tcPr>
          <w:p w14:paraId="4B158C9D" w14:textId="11FF1C63" w:rsidR="00B803CE" w:rsidRPr="00B803CE" w:rsidRDefault="00B803CE" w:rsidP="00B803CE">
            <w:pPr>
              <w:jc w:val="right"/>
              <w:rPr>
                <w:rFonts w:ascii="Arial" w:hAnsi="Arial" w:cs="Arial"/>
                <w:noProof/>
                <w:sz w:val="18"/>
              </w:rPr>
            </w:pPr>
            <w:r w:rsidRPr="00B803CE">
              <w:rPr>
                <w:rFonts w:ascii="Arial" w:hAnsi="Arial" w:cs="Arial"/>
                <w:noProof/>
                <w:sz w:val="18"/>
              </w:rPr>
              <w:t xml:space="preserve"> 1,832,883.00 </w:t>
            </w:r>
          </w:p>
        </w:tc>
      </w:tr>
      <w:tr w:rsidR="00B803CE" w:rsidRPr="002972AA" w14:paraId="13E35A1B" w14:textId="77777777" w:rsidTr="00B803CE">
        <w:trPr>
          <w:trHeight w:val="227"/>
          <w:jc w:val="center"/>
        </w:trPr>
        <w:tc>
          <w:tcPr>
            <w:tcW w:w="8500" w:type="dxa"/>
          </w:tcPr>
          <w:p w14:paraId="33B2691B" w14:textId="7E166A8E" w:rsidR="00B803CE" w:rsidRPr="0019169A" w:rsidRDefault="00B803CE" w:rsidP="00B803CE">
            <w:pPr>
              <w:rPr>
                <w:rFonts w:ascii="Arial" w:hAnsi="Arial" w:cs="Arial"/>
                <w:sz w:val="18"/>
                <w:szCs w:val="18"/>
              </w:rPr>
            </w:pPr>
            <w:r>
              <w:rPr>
                <w:rFonts w:ascii="Arial" w:hAnsi="Arial" w:cs="Arial"/>
                <w:sz w:val="18"/>
                <w:szCs w:val="18"/>
              </w:rPr>
              <w:t>AFASPE 2020</w:t>
            </w:r>
          </w:p>
        </w:tc>
        <w:tc>
          <w:tcPr>
            <w:tcW w:w="2138" w:type="dxa"/>
            <w:vAlign w:val="bottom"/>
          </w:tcPr>
          <w:p w14:paraId="5E770F84" w14:textId="4BCB3BBB" w:rsidR="00B803CE" w:rsidRPr="00B803CE" w:rsidRDefault="00B803CE" w:rsidP="00B803CE">
            <w:pPr>
              <w:jc w:val="right"/>
              <w:rPr>
                <w:rFonts w:ascii="Arial" w:hAnsi="Arial" w:cs="Arial"/>
                <w:noProof/>
                <w:sz w:val="18"/>
              </w:rPr>
            </w:pPr>
            <w:r w:rsidRPr="00B803CE">
              <w:rPr>
                <w:rFonts w:ascii="Arial" w:hAnsi="Arial" w:cs="Arial"/>
                <w:noProof/>
                <w:sz w:val="18"/>
              </w:rPr>
              <w:t xml:space="preserve"> 43,724,742.21 </w:t>
            </w:r>
          </w:p>
        </w:tc>
      </w:tr>
      <w:tr w:rsidR="00B803CE" w:rsidRPr="002972AA" w14:paraId="07EF582D" w14:textId="77777777" w:rsidTr="00B803CE">
        <w:trPr>
          <w:trHeight w:val="227"/>
          <w:jc w:val="center"/>
        </w:trPr>
        <w:tc>
          <w:tcPr>
            <w:tcW w:w="8500" w:type="dxa"/>
          </w:tcPr>
          <w:p w14:paraId="0FDA483E" w14:textId="38E125AF" w:rsidR="00B803CE" w:rsidRDefault="00B803CE" w:rsidP="00B803CE">
            <w:pPr>
              <w:rPr>
                <w:rFonts w:ascii="Arial" w:hAnsi="Arial" w:cs="Arial"/>
                <w:sz w:val="18"/>
                <w:szCs w:val="18"/>
              </w:rPr>
            </w:pPr>
            <w:r>
              <w:rPr>
                <w:rFonts w:ascii="Calibri" w:hAnsi="Calibri" w:cs="Calibri"/>
                <w:color w:val="000000"/>
              </w:rPr>
              <w:t>AFASPE ESPECIE</w:t>
            </w:r>
          </w:p>
        </w:tc>
        <w:tc>
          <w:tcPr>
            <w:tcW w:w="2138" w:type="dxa"/>
            <w:vAlign w:val="bottom"/>
          </w:tcPr>
          <w:p w14:paraId="44122A58" w14:textId="1AB40552" w:rsidR="00B803CE" w:rsidRPr="00B803CE" w:rsidRDefault="00B803CE" w:rsidP="00B803CE">
            <w:pPr>
              <w:jc w:val="right"/>
              <w:rPr>
                <w:rFonts w:ascii="Arial" w:hAnsi="Arial" w:cs="Arial"/>
                <w:noProof/>
                <w:sz w:val="18"/>
              </w:rPr>
            </w:pPr>
            <w:r w:rsidRPr="00B803CE">
              <w:rPr>
                <w:rFonts w:ascii="Arial" w:hAnsi="Arial" w:cs="Arial"/>
                <w:noProof/>
                <w:sz w:val="18"/>
              </w:rPr>
              <w:t xml:space="preserve"> 23,580,045.03 </w:t>
            </w:r>
          </w:p>
        </w:tc>
      </w:tr>
      <w:tr w:rsidR="00863EC2" w:rsidRPr="00323DA4" w14:paraId="620EF989" w14:textId="77777777" w:rsidTr="00B803CE">
        <w:trPr>
          <w:trHeight w:val="240"/>
          <w:jc w:val="center"/>
        </w:trPr>
        <w:tc>
          <w:tcPr>
            <w:tcW w:w="8500" w:type="dxa"/>
            <w:hideMark/>
          </w:tcPr>
          <w:p w14:paraId="620EF986" w14:textId="27B15C27" w:rsidR="00863EC2" w:rsidRPr="00323DA4" w:rsidRDefault="00323DA4" w:rsidP="002972AA">
            <w:pPr>
              <w:rPr>
                <w:rFonts w:ascii="Arial" w:eastAsia="Times New Roman" w:hAnsi="Arial" w:cs="Arial"/>
                <w:b/>
                <w:sz w:val="18"/>
                <w:szCs w:val="18"/>
                <w:lang w:val="es-ES" w:eastAsia="es-ES"/>
              </w:rPr>
            </w:pPr>
            <w:r w:rsidRPr="00323DA4">
              <w:rPr>
                <w:rFonts w:ascii="Arial" w:hAnsi="Arial" w:cs="Arial"/>
                <w:b/>
                <w:sz w:val="18"/>
                <w:szCs w:val="18"/>
              </w:rPr>
              <w:t>Suma</w:t>
            </w:r>
          </w:p>
        </w:tc>
        <w:tc>
          <w:tcPr>
            <w:tcW w:w="2138" w:type="dxa"/>
          </w:tcPr>
          <w:p w14:paraId="620EF987" w14:textId="5148BF64" w:rsidR="00863EC2" w:rsidRPr="00323DA4" w:rsidRDefault="00B803CE" w:rsidP="00AD6257">
            <w:pPr>
              <w:jc w:val="right"/>
              <w:rPr>
                <w:rFonts w:ascii="Arial" w:hAnsi="Arial" w:cs="Arial"/>
                <w:b/>
                <w:sz w:val="18"/>
              </w:rPr>
            </w:pPr>
            <w:r w:rsidRPr="00323DA4">
              <w:rPr>
                <w:rFonts w:ascii="Arial" w:hAnsi="Arial" w:cs="Arial"/>
                <w:b/>
                <w:sz w:val="18"/>
              </w:rPr>
              <w:fldChar w:fldCharType="begin"/>
            </w:r>
            <w:r w:rsidRPr="00323DA4">
              <w:rPr>
                <w:rFonts w:ascii="Arial" w:hAnsi="Arial" w:cs="Arial"/>
                <w:b/>
                <w:sz w:val="18"/>
              </w:rPr>
              <w:instrText xml:space="preserve"> =SUM(ABOVE) </w:instrText>
            </w:r>
            <w:r w:rsidRPr="00323DA4">
              <w:rPr>
                <w:rFonts w:ascii="Arial" w:hAnsi="Arial" w:cs="Arial"/>
                <w:b/>
                <w:sz w:val="18"/>
              </w:rPr>
              <w:fldChar w:fldCharType="separate"/>
            </w:r>
            <w:r w:rsidRPr="00323DA4">
              <w:rPr>
                <w:rFonts w:ascii="Arial" w:hAnsi="Arial" w:cs="Arial"/>
                <w:b/>
                <w:noProof/>
                <w:sz w:val="18"/>
              </w:rPr>
              <w:t>4,383,956,478.56</w:t>
            </w:r>
            <w:r w:rsidRPr="00323DA4">
              <w:rPr>
                <w:rFonts w:ascii="Arial" w:hAnsi="Arial" w:cs="Arial"/>
                <w:b/>
                <w:sz w:val="18"/>
              </w:rPr>
              <w:fldChar w:fldCharType="end"/>
            </w:r>
          </w:p>
        </w:tc>
      </w:tr>
    </w:tbl>
    <w:p w14:paraId="3227E57D" w14:textId="14098BC1" w:rsidR="00420E80" w:rsidRDefault="00420E80" w:rsidP="00AC7F8A">
      <w:pPr>
        <w:pStyle w:val="ROMANOS"/>
        <w:spacing w:after="0" w:line="240" w:lineRule="exact"/>
        <w:rPr>
          <w:lang w:val="es-MX"/>
        </w:rPr>
      </w:pPr>
    </w:p>
    <w:p w14:paraId="4D433930" w14:textId="2CD9B0F8" w:rsidR="00467D58" w:rsidRDefault="00467D58" w:rsidP="00AC7F8A">
      <w:pPr>
        <w:pStyle w:val="ROMANOS"/>
        <w:spacing w:after="0" w:line="240" w:lineRule="exact"/>
        <w:rPr>
          <w:lang w:val="es-MX"/>
        </w:rPr>
      </w:pPr>
      <w:r>
        <w:rPr>
          <w:b/>
          <w:bCs/>
        </w:rPr>
        <w:t>Otros Ingresos y Beneficios</w:t>
      </w:r>
    </w:p>
    <w:p w14:paraId="3E6AE39E" w14:textId="77777777" w:rsidR="00467D58" w:rsidRPr="009A5967" w:rsidRDefault="00467D58" w:rsidP="00AC7F8A">
      <w:pPr>
        <w:pStyle w:val="ROMANOS"/>
        <w:spacing w:after="0" w:line="240" w:lineRule="exact"/>
        <w:rPr>
          <w:lang w:val="es-MX"/>
        </w:rPr>
      </w:pPr>
    </w:p>
    <w:p w14:paraId="4A393219" w14:textId="38A5472E" w:rsidR="00507531" w:rsidRDefault="00A75C91" w:rsidP="004F10D5">
      <w:pPr>
        <w:pStyle w:val="ROMANOS"/>
        <w:tabs>
          <w:tab w:val="clear" w:pos="720"/>
          <w:tab w:val="left" w:pos="288"/>
        </w:tabs>
        <w:spacing w:after="0" w:line="240" w:lineRule="exact"/>
        <w:ind w:left="284" w:firstLine="4"/>
        <w:rPr>
          <w:lang w:val="es-MX"/>
        </w:rPr>
      </w:pPr>
      <w:r>
        <w:rPr>
          <w:lang w:val="es-MX"/>
        </w:rPr>
        <w:t>En</w:t>
      </w:r>
      <w:r w:rsidR="00AC7F8A" w:rsidRPr="009A5967">
        <w:rPr>
          <w:lang w:val="es-MX"/>
        </w:rPr>
        <w:t xml:space="preserve"> el ejercicio 20</w:t>
      </w:r>
      <w:r w:rsidR="00467D58">
        <w:rPr>
          <w:lang w:val="es-MX"/>
        </w:rPr>
        <w:t>20</w:t>
      </w:r>
      <w:r w:rsidR="00AC7F8A" w:rsidRPr="009A5967">
        <w:rPr>
          <w:lang w:val="es-MX"/>
        </w:rPr>
        <w:t xml:space="preserve"> la </w:t>
      </w:r>
      <w:r w:rsidR="00AC7F8A" w:rsidRPr="009A5967">
        <w:t>Secretaría de Salud y O.P.D. Salud de Tlaxcala</w:t>
      </w:r>
      <w:r w:rsidR="00387376">
        <w:t>,</w:t>
      </w:r>
      <w:r w:rsidR="00AC7F8A" w:rsidRPr="009A5967">
        <w:rPr>
          <w:lang w:val="es-MX"/>
        </w:rPr>
        <w:t xml:space="preserve"> </w:t>
      </w:r>
      <w:r w:rsidR="00467D58">
        <w:rPr>
          <w:lang w:val="es-MX"/>
        </w:rPr>
        <w:t xml:space="preserve">ha </w:t>
      </w:r>
      <w:r w:rsidR="00AC7F8A" w:rsidRPr="009A5967">
        <w:rPr>
          <w:lang w:val="es-MX"/>
        </w:rPr>
        <w:t>obt</w:t>
      </w:r>
      <w:r w:rsidR="00467D58">
        <w:rPr>
          <w:lang w:val="es-MX"/>
        </w:rPr>
        <w:t>enido</w:t>
      </w:r>
      <w:r w:rsidR="00AD6257">
        <w:rPr>
          <w:lang w:val="es-MX"/>
        </w:rPr>
        <w:t xml:space="preserve"> otros ingresos</w:t>
      </w:r>
      <w:r w:rsidR="001E4CC8">
        <w:rPr>
          <w:lang w:val="es-MX"/>
        </w:rPr>
        <w:t xml:space="preserve"> por un monto de $</w:t>
      </w:r>
      <w:r w:rsidR="00B803CE">
        <w:rPr>
          <w:lang w:val="es-MX"/>
        </w:rPr>
        <w:t>168,914.84</w:t>
      </w:r>
      <w:r w:rsidR="00507531">
        <w:rPr>
          <w:lang w:val="es-MX"/>
        </w:rPr>
        <w:t>.</w:t>
      </w:r>
    </w:p>
    <w:p w14:paraId="33E1DD32" w14:textId="77777777" w:rsidR="00507531" w:rsidRDefault="00507531" w:rsidP="004F10D5">
      <w:pPr>
        <w:pStyle w:val="ROMANOS"/>
        <w:tabs>
          <w:tab w:val="clear" w:pos="720"/>
          <w:tab w:val="left" w:pos="288"/>
        </w:tabs>
        <w:spacing w:after="0" w:line="240" w:lineRule="exact"/>
        <w:ind w:left="284" w:firstLine="4"/>
        <w:rPr>
          <w:lang w:val="es-MX"/>
        </w:rPr>
      </w:pPr>
    </w:p>
    <w:tbl>
      <w:tblPr>
        <w:tblStyle w:val="Tablaconcuadrcula"/>
        <w:tblW w:w="10638" w:type="dxa"/>
        <w:jc w:val="center"/>
        <w:tblLayout w:type="fixed"/>
        <w:tblLook w:val="04A0" w:firstRow="1" w:lastRow="0" w:firstColumn="1" w:lastColumn="0" w:noHBand="0" w:noVBand="1"/>
      </w:tblPr>
      <w:tblGrid>
        <w:gridCol w:w="8937"/>
        <w:gridCol w:w="1701"/>
      </w:tblGrid>
      <w:tr w:rsidR="00507531" w:rsidRPr="002972AA" w14:paraId="6280D036" w14:textId="77777777" w:rsidTr="00937214">
        <w:trPr>
          <w:trHeight w:val="227"/>
          <w:jc w:val="center"/>
        </w:trPr>
        <w:tc>
          <w:tcPr>
            <w:tcW w:w="8937" w:type="dxa"/>
          </w:tcPr>
          <w:p w14:paraId="006B160C" w14:textId="4E7BA120" w:rsidR="00507531" w:rsidRPr="00592BF9" w:rsidRDefault="00507531" w:rsidP="00937214">
            <w:pPr>
              <w:rPr>
                <w:rFonts w:ascii="Arial" w:hAnsi="Arial" w:cs="Arial"/>
                <w:sz w:val="18"/>
                <w:szCs w:val="18"/>
              </w:rPr>
            </w:pPr>
            <w:r>
              <w:rPr>
                <w:rFonts w:ascii="Arial" w:hAnsi="Arial" w:cs="Arial"/>
                <w:sz w:val="18"/>
                <w:szCs w:val="18"/>
              </w:rPr>
              <w:t>CONCEPTO</w:t>
            </w:r>
          </w:p>
        </w:tc>
        <w:tc>
          <w:tcPr>
            <w:tcW w:w="1701" w:type="dxa"/>
          </w:tcPr>
          <w:p w14:paraId="2739766C" w14:textId="52CBA28D" w:rsidR="00507531" w:rsidRPr="00592BF9" w:rsidRDefault="00507531" w:rsidP="00937214">
            <w:pPr>
              <w:jc w:val="right"/>
              <w:rPr>
                <w:rFonts w:ascii="Arial" w:hAnsi="Arial" w:cs="Arial"/>
                <w:sz w:val="18"/>
                <w:szCs w:val="18"/>
              </w:rPr>
            </w:pPr>
            <w:r>
              <w:rPr>
                <w:rFonts w:ascii="Arial" w:hAnsi="Arial" w:cs="Arial"/>
                <w:sz w:val="18"/>
                <w:szCs w:val="18"/>
              </w:rPr>
              <w:t>Importe</w:t>
            </w:r>
          </w:p>
        </w:tc>
      </w:tr>
      <w:tr w:rsidR="00507531" w:rsidRPr="002972AA" w14:paraId="45DA221C" w14:textId="77777777" w:rsidTr="00937214">
        <w:trPr>
          <w:trHeight w:val="227"/>
          <w:jc w:val="center"/>
        </w:trPr>
        <w:tc>
          <w:tcPr>
            <w:tcW w:w="8937" w:type="dxa"/>
          </w:tcPr>
          <w:p w14:paraId="02C0A384" w14:textId="0E3B5B81" w:rsidR="00507531" w:rsidRPr="00592BF9" w:rsidRDefault="00B803CE" w:rsidP="00937214">
            <w:pPr>
              <w:rPr>
                <w:rFonts w:ascii="Arial" w:hAnsi="Arial" w:cs="Arial"/>
                <w:sz w:val="18"/>
                <w:szCs w:val="18"/>
              </w:rPr>
            </w:pPr>
            <w:r w:rsidRPr="00507531">
              <w:rPr>
                <w:rFonts w:ascii="Arial" w:hAnsi="Arial" w:cs="Arial"/>
                <w:sz w:val="18"/>
                <w:szCs w:val="18"/>
              </w:rPr>
              <w:t>Convenio de Colaboración Fundación Inbursa A.C. 2019-2020</w:t>
            </w:r>
          </w:p>
        </w:tc>
        <w:tc>
          <w:tcPr>
            <w:tcW w:w="1701" w:type="dxa"/>
          </w:tcPr>
          <w:p w14:paraId="334DAC5C" w14:textId="4A86659B" w:rsidR="00507531" w:rsidRPr="00592BF9" w:rsidRDefault="00B803CE" w:rsidP="00937214">
            <w:pPr>
              <w:jc w:val="right"/>
              <w:rPr>
                <w:rFonts w:ascii="Arial" w:hAnsi="Arial" w:cs="Arial"/>
                <w:sz w:val="18"/>
                <w:szCs w:val="18"/>
              </w:rPr>
            </w:pPr>
            <w:r>
              <w:rPr>
                <w:rFonts w:ascii="Arial" w:hAnsi="Arial" w:cs="Arial"/>
                <w:sz w:val="18"/>
                <w:szCs w:val="18"/>
              </w:rPr>
              <w:t>6</w:t>
            </w:r>
            <w:r w:rsidR="00507531">
              <w:rPr>
                <w:rFonts w:ascii="Arial" w:hAnsi="Arial" w:cs="Arial"/>
                <w:sz w:val="18"/>
                <w:szCs w:val="18"/>
              </w:rPr>
              <w:t>0,000.</w:t>
            </w:r>
            <w:r>
              <w:rPr>
                <w:rFonts w:ascii="Arial" w:hAnsi="Arial" w:cs="Arial"/>
                <w:sz w:val="18"/>
                <w:szCs w:val="18"/>
              </w:rPr>
              <w:t>1</w:t>
            </w:r>
            <w:r w:rsidR="00507531">
              <w:rPr>
                <w:rFonts w:ascii="Arial" w:hAnsi="Arial" w:cs="Arial"/>
                <w:sz w:val="18"/>
                <w:szCs w:val="18"/>
              </w:rPr>
              <w:t>0</w:t>
            </w:r>
          </w:p>
        </w:tc>
      </w:tr>
      <w:tr w:rsidR="00B803CE" w:rsidRPr="002972AA" w14:paraId="51F18A0D" w14:textId="77777777" w:rsidTr="00937214">
        <w:trPr>
          <w:trHeight w:val="227"/>
          <w:jc w:val="center"/>
        </w:trPr>
        <w:tc>
          <w:tcPr>
            <w:tcW w:w="8937" w:type="dxa"/>
          </w:tcPr>
          <w:p w14:paraId="211CD50D" w14:textId="1C628303" w:rsidR="00B803CE" w:rsidRPr="00507531" w:rsidRDefault="00B803CE" w:rsidP="00937214">
            <w:pPr>
              <w:rPr>
                <w:rFonts w:ascii="Arial" w:hAnsi="Arial" w:cs="Arial"/>
                <w:sz w:val="18"/>
                <w:szCs w:val="18"/>
              </w:rPr>
            </w:pPr>
            <w:r w:rsidRPr="00B803CE">
              <w:rPr>
                <w:rFonts w:ascii="Arial" w:hAnsi="Arial" w:cs="Arial"/>
                <w:sz w:val="18"/>
                <w:szCs w:val="18"/>
              </w:rPr>
              <w:t>Indemnización de Seguros</w:t>
            </w:r>
          </w:p>
        </w:tc>
        <w:tc>
          <w:tcPr>
            <w:tcW w:w="1701" w:type="dxa"/>
          </w:tcPr>
          <w:p w14:paraId="6A26149C" w14:textId="7094C650" w:rsidR="00B803CE" w:rsidRDefault="00B803CE" w:rsidP="00937214">
            <w:pPr>
              <w:jc w:val="right"/>
              <w:rPr>
                <w:rFonts w:ascii="Arial" w:hAnsi="Arial" w:cs="Arial"/>
                <w:sz w:val="18"/>
                <w:szCs w:val="18"/>
              </w:rPr>
            </w:pPr>
            <w:r>
              <w:rPr>
                <w:rFonts w:ascii="Arial" w:hAnsi="Arial" w:cs="Arial"/>
                <w:sz w:val="18"/>
                <w:szCs w:val="18"/>
              </w:rPr>
              <w:t>108,870.00</w:t>
            </w:r>
          </w:p>
        </w:tc>
      </w:tr>
      <w:tr w:rsidR="00507531" w:rsidRPr="002972AA" w14:paraId="3FDA140C" w14:textId="77777777" w:rsidTr="00937214">
        <w:trPr>
          <w:trHeight w:val="227"/>
          <w:jc w:val="center"/>
        </w:trPr>
        <w:tc>
          <w:tcPr>
            <w:tcW w:w="8937" w:type="dxa"/>
          </w:tcPr>
          <w:p w14:paraId="5C5B7119" w14:textId="4979DBB3" w:rsidR="00507531" w:rsidRPr="0019169A" w:rsidRDefault="00507531" w:rsidP="00937214">
            <w:pPr>
              <w:rPr>
                <w:rFonts w:ascii="Arial" w:hAnsi="Arial" w:cs="Arial"/>
                <w:sz w:val="18"/>
                <w:szCs w:val="18"/>
              </w:rPr>
            </w:pPr>
            <w:r w:rsidRPr="00507531">
              <w:rPr>
                <w:rFonts w:ascii="Arial" w:hAnsi="Arial" w:cs="Arial"/>
                <w:sz w:val="18"/>
                <w:szCs w:val="18"/>
              </w:rPr>
              <w:t>Derivados de reintegros</w:t>
            </w:r>
          </w:p>
        </w:tc>
        <w:tc>
          <w:tcPr>
            <w:tcW w:w="1701" w:type="dxa"/>
          </w:tcPr>
          <w:p w14:paraId="3B0EBF9F" w14:textId="7E589AE0" w:rsidR="00507531" w:rsidRPr="00D24540" w:rsidRDefault="00507531" w:rsidP="00937214">
            <w:pPr>
              <w:jc w:val="right"/>
              <w:rPr>
                <w:rFonts w:ascii="Arial" w:hAnsi="Arial" w:cs="Arial"/>
                <w:sz w:val="18"/>
                <w:szCs w:val="18"/>
              </w:rPr>
            </w:pPr>
            <w:r>
              <w:rPr>
                <w:rFonts w:ascii="Arial" w:hAnsi="Arial" w:cs="Arial"/>
                <w:sz w:val="18"/>
                <w:szCs w:val="18"/>
              </w:rPr>
              <w:t>44.74</w:t>
            </w:r>
          </w:p>
        </w:tc>
      </w:tr>
      <w:tr w:rsidR="00507531" w:rsidRPr="00323DA4" w14:paraId="53BD49C7" w14:textId="77777777" w:rsidTr="00937214">
        <w:trPr>
          <w:trHeight w:val="227"/>
          <w:jc w:val="center"/>
        </w:trPr>
        <w:tc>
          <w:tcPr>
            <w:tcW w:w="8937" w:type="dxa"/>
          </w:tcPr>
          <w:p w14:paraId="7F0006EA" w14:textId="5A28FB3D" w:rsidR="00507531" w:rsidRPr="00323DA4" w:rsidRDefault="00507531" w:rsidP="00937214">
            <w:pPr>
              <w:rPr>
                <w:rFonts w:ascii="Arial" w:hAnsi="Arial" w:cs="Arial"/>
                <w:b/>
                <w:sz w:val="18"/>
                <w:szCs w:val="18"/>
              </w:rPr>
            </w:pPr>
            <w:r w:rsidRPr="00323DA4">
              <w:rPr>
                <w:rFonts w:ascii="Arial" w:hAnsi="Arial" w:cs="Arial"/>
                <w:b/>
                <w:sz w:val="18"/>
                <w:szCs w:val="18"/>
              </w:rPr>
              <w:t xml:space="preserve">Suma </w:t>
            </w:r>
          </w:p>
        </w:tc>
        <w:tc>
          <w:tcPr>
            <w:tcW w:w="1701" w:type="dxa"/>
          </w:tcPr>
          <w:p w14:paraId="3F1640B6" w14:textId="31DD8548" w:rsidR="00507531" w:rsidRPr="00323DA4" w:rsidRDefault="00B803CE" w:rsidP="00937214">
            <w:pPr>
              <w:jc w:val="right"/>
              <w:rPr>
                <w:rFonts w:ascii="Arial" w:hAnsi="Arial" w:cs="Arial"/>
                <w:b/>
                <w:sz w:val="18"/>
                <w:szCs w:val="18"/>
              </w:rPr>
            </w:pPr>
            <w:r w:rsidRPr="00323DA4">
              <w:rPr>
                <w:rFonts w:ascii="Arial" w:hAnsi="Arial" w:cs="Arial"/>
                <w:b/>
                <w:sz w:val="18"/>
                <w:szCs w:val="18"/>
              </w:rPr>
              <w:fldChar w:fldCharType="begin"/>
            </w:r>
            <w:r w:rsidRPr="00323DA4">
              <w:rPr>
                <w:rFonts w:ascii="Arial" w:hAnsi="Arial" w:cs="Arial"/>
                <w:b/>
                <w:sz w:val="18"/>
                <w:szCs w:val="18"/>
              </w:rPr>
              <w:instrText xml:space="preserve"> =SUM(ABOVE) </w:instrText>
            </w:r>
            <w:r w:rsidRPr="00323DA4">
              <w:rPr>
                <w:rFonts w:ascii="Arial" w:hAnsi="Arial" w:cs="Arial"/>
                <w:b/>
                <w:sz w:val="18"/>
                <w:szCs w:val="18"/>
              </w:rPr>
              <w:fldChar w:fldCharType="separate"/>
            </w:r>
            <w:r w:rsidRPr="00323DA4">
              <w:rPr>
                <w:rFonts w:ascii="Arial" w:hAnsi="Arial" w:cs="Arial"/>
                <w:b/>
                <w:noProof/>
                <w:sz w:val="18"/>
                <w:szCs w:val="18"/>
              </w:rPr>
              <w:t>168,914.84</w:t>
            </w:r>
            <w:r w:rsidRPr="00323DA4">
              <w:rPr>
                <w:rFonts w:ascii="Arial" w:hAnsi="Arial" w:cs="Arial"/>
                <w:b/>
                <w:sz w:val="18"/>
                <w:szCs w:val="18"/>
              </w:rPr>
              <w:fldChar w:fldCharType="end"/>
            </w:r>
          </w:p>
        </w:tc>
      </w:tr>
    </w:tbl>
    <w:p w14:paraId="6C93F5BB" w14:textId="77777777" w:rsidR="00507531" w:rsidRPr="009A5967" w:rsidRDefault="00507531" w:rsidP="004F10D5">
      <w:pPr>
        <w:pStyle w:val="ROMANOS"/>
        <w:tabs>
          <w:tab w:val="clear" w:pos="720"/>
          <w:tab w:val="left" w:pos="288"/>
        </w:tabs>
        <w:spacing w:after="0" w:line="240" w:lineRule="exact"/>
        <w:ind w:left="284" w:firstLine="4"/>
        <w:rPr>
          <w:lang w:val="es-MX"/>
        </w:rPr>
      </w:pPr>
    </w:p>
    <w:p w14:paraId="21745F05" w14:textId="77777777" w:rsidR="00467D58" w:rsidRDefault="00467D58" w:rsidP="00082C0D">
      <w:pPr>
        <w:pStyle w:val="ROMANOS"/>
        <w:spacing w:after="0" w:line="240" w:lineRule="exact"/>
        <w:ind w:left="0" w:firstLine="0"/>
        <w:rPr>
          <w:lang w:val="es-MX"/>
        </w:rPr>
      </w:pPr>
    </w:p>
    <w:p w14:paraId="620EF98F" w14:textId="77777777" w:rsidR="00AC7F8A" w:rsidRDefault="00AC7F8A" w:rsidP="00AC7F8A">
      <w:pPr>
        <w:pStyle w:val="ROMANOS"/>
        <w:spacing w:after="0" w:line="240" w:lineRule="exact"/>
        <w:rPr>
          <w:b/>
          <w:lang w:val="es-MX"/>
        </w:rPr>
      </w:pPr>
      <w:r w:rsidRPr="009A5967">
        <w:rPr>
          <w:b/>
          <w:lang w:val="es-MX"/>
        </w:rPr>
        <w:t>Gastos y Otras Pérdidas:</w:t>
      </w:r>
    </w:p>
    <w:p w14:paraId="36D25E90" w14:textId="77777777" w:rsidR="00F335B7" w:rsidRPr="009A5967" w:rsidRDefault="00F335B7" w:rsidP="00AC7F8A">
      <w:pPr>
        <w:pStyle w:val="ROMANOS"/>
        <w:spacing w:after="0" w:line="240" w:lineRule="exact"/>
        <w:rPr>
          <w:b/>
          <w:lang w:val="es-MX"/>
        </w:rPr>
      </w:pPr>
    </w:p>
    <w:p w14:paraId="620EF990" w14:textId="1CC21A14" w:rsidR="00AC7F8A" w:rsidRPr="009A5967" w:rsidRDefault="00AC7F8A" w:rsidP="004F10D5">
      <w:pPr>
        <w:autoSpaceDE w:val="0"/>
        <w:autoSpaceDN w:val="0"/>
        <w:adjustRightInd w:val="0"/>
        <w:spacing w:after="0" w:line="240" w:lineRule="auto"/>
        <w:ind w:left="284" w:firstLine="4"/>
        <w:jc w:val="both"/>
        <w:rPr>
          <w:rFonts w:ascii="Arial" w:hAnsi="Arial" w:cs="Arial"/>
          <w:sz w:val="18"/>
          <w:szCs w:val="18"/>
          <w:lang w:val="es-ES"/>
        </w:rPr>
      </w:pPr>
      <w:r w:rsidRPr="009A5967">
        <w:rPr>
          <w:rFonts w:ascii="Arial" w:hAnsi="Arial" w:cs="Arial"/>
          <w:sz w:val="18"/>
          <w:szCs w:val="18"/>
          <w:lang w:val="es-ES"/>
        </w:rPr>
        <w:t>Representa el importe de los gastos y otras pérdidas incurridos por gastos de funcionamiento,</w:t>
      </w:r>
      <w:r w:rsidR="003C1E83">
        <w:rPr>
          <w:rFonts w:ascii="Arial" w:hAnsi="Arial" w:cs="Arial"/>
          <w:sz w:val="18"/>
          <w:szCs w:val="18"/>
          <w:lang w:val="es-ES"/>
        </w:rPr>
        <w:t xml:space="preserve"> </w:t>
      </w:r>
      <w:proofErr w:type="spellStart"/>
      <w:r w:rsidR="003C1E83">
        <w:rPr>
          <w:rFonts w:ascii="Arial" w:hAnsi="Arial" w:cs="Arial"/>
          <w:sz w:val="18"/>
          <w:szCs w:val="18"/>
          <w:lang w:val="es-ES"/>
        </w:rPr>
        <w:t>asi</w:t>
      </w:r>
      <w:proofErr w:type="spellEnd"/>
      <w:r w:rsidR="003C1E83">
        <w:rPr>
          <w:rFonts w:ascii="Arial" w:hAnsi="Arial" w:cs="Arial"/>
          <w:sz w:val="18"/>
          <w:szCs w:val="18"/>
          <w:lang w:val="es-ES"/>
        </w:rPr>
        <w:t xml:space="preserve"> como</w:t>
      </w:r>
      <w:r w:rsidRPr="009A5967">
        <w:rPr>
          <w:rFonts w:ascii="Arial" w:hAnsi="Arial" w:cs="Arial"/>
          <w:sz w:val="18"/>
          <w:szCs w:val="18"/>
          <w:lang w:val="es-ES"/>
        </w:rPr>
        <w:t xml:space="preserve"> transferencias, participaciones y aportaciones otorgadas</w:t>
      </w:r>
      <w:r w:rsidR="003C1E83">
        <w:rPr>
          <w:rFonts w:ascii="Arial" w:hAnsi="Arial" w:cs="Arial"/>
          <w:sz w:val="18"/>
          <w:szCs w:val="18"/>
          <w:lang w:val="es-ES"/>
        </w:rPr>
        <w:t>.</w:t>
      </w:r>
      <w:r w:rsidRPr="009A5967">
        <w:rPr>
          <w:rFonts w:ascii="Arial" w:hAnsi="Arial" w:cs="Arial"/>
          <w:sz w:val="18"/>
          <w:szCs w:val="18"/>
          <w:lang w:val="es-ES"/>
        </w:rPr>
        <w:t xml:space="preserve"> </w:t>
      </w:r>
    </w:p>
    <w:p w14:paraId="620EF991" w14:textId="77777777" w:rsidR="00AC7F8A" w:rsidRPr="009A5967" w:rsidRDefault="00AC7F8A" w:rsidP="00AC7F8A">
      <w:pPr>
        <w:autoSpaceDE w:val="0"/>
        <w:autoSpaceDN w:val="0"/>
        <w:adjustRightInd w:val="0"/>
        <w:spacing w:after="0" w:line="240" w:lineRule="auto"/>
        <w:ind w:left="284" w:firstLine="4"/>
        <w:rPr>
          <w:rFonts w:ascii="Arial" w:hAnsi="Arial" w:cs="Arial"/>
          <w:sz w:val="18"/>
          <w:szCs w:val="18"/>
          <w:lang w:val="es-ES"/>
        </w:rPr>
      </w:pPr>
    </w:p>
    <w:p w14:paraId="620EF992" w14:textId="4A71439F" w:rsidR="00AC7F8A" w:rsidRDefault="00AC7F8A" w:rsidP="00274905">
      <w:pPr>
        <w:autoSpaceDE w:val="0"/>
        <w:autoSpaceDN w:val="0"/>
        <w:adjustRightInd w:val="0"/>
        <w:spacing w:after="0" w:line="240" w:lineRule="auto"/>
        <w:ind w:left="284" w:firstLine="4"/>
        <w:jc w:val="both"/>
        <w:rPr>
          <w:rFonts w:ascii="Arial" w:hAnsi="Arial" w:cs="Arial"/>
          <w:sz w:val="18"/>
          <w:szCs w:val="18"/>
        </w:rPr>
      </w:pPr>
      <w:r w:rsidRPr="009A5967">
        <w:rPr>
          <w:rFonts w:ascii="Arial" w:hAnsi="Arial" w:cs="Arial"/>
          <w:sz w:val="18"/>
          <w:szCs w:val="18"/>
          <w:lang w:val="es-ES"/>
        </w:rPr>
        <w:t xml:space="preserve">El gasto por remuneraciones al personal </w:t>
      </w:r>
      <w:r w:rsidRPr="009A5967">
        <w:rPr>
          <w:rFonts w:ascii="Arial" w:hAnsi="Arial" w:cs="Arial"/>
          <w:sz w:val="18"/>
          <w:szCs w:val="18"/>
        </w:rPr>
        <w:t>necesario para brindar atención en las diferentes unidades médicas</w:t>
      </w:r>
      <w:r w:rsidR="004F10D5">
        <w:rPr>
          <w:rFonts w:ascii="Arial" w:hAnsi="Arial" w:cs="Arial"/>
          <w:sz w:val="18"/>
          <w:szCs w:val="18"/>
        </w:rPr>
        <w:t xml:space="preserve"> y administrativas</w:t>
      </w:r>
      <w:r w:rsidRPr="009A5967">
        <w:rPr>
          <w:rFonts w:ascii="Arial" w:hAnsi="Arial" w:cs="Arial"/>
          <w:sz w:val="18"/>
          <w:szCs w:val="18"/>
        </w:rPr>
        <w:t xml:space="preserve"> que integran la Secretaría de Salud y O.P.D. Salud de Tlaxcala</w:t>
      </w:r>
      <w:r w:rsidR="00387376">
        <w:rPr>
          <w:rFonts w:ascii="Arial" w:hAnsi="Arial" w:cs="Arial"/>
          <w:sz w:val="18"/>
          <w:szCs w:val="18"/>
        </w:rPr>
        <w:t>,</w:t>
      </w:r>
      <w:r w:rsidR="005614C3">
        <w:rPr>
          <w:rFonts w:ascii="Arial" w:hAnsi="Arial" w:cs="Arial"/>
          <w:sz w:val="18"/>
          <w:szCs w:val="18"/>
        </w:rPr>
        <w:t xml:space="preserve"> por el periodo que se informa</w:t>
      </w:r>
      <w:r w:rsidR="003C1E83">
        <w:rPr>
          <w:rFonts w:ascii="Arial" w:hAnsi="Arial" w:cs="Arial"/>
          <w:sz w:val="18"/>
          <w:szCs w:val="18"/>
        </w:rPr>
        <w:t>,</w:t>
      </w:r>
      <w:r>
        <w:rPr>
          <w:rFonts w:ascii="Arial" w:hAnsi="Arial" w:cs="Arial"/>
          <w:sz w:val="18"/>
          <w:szCs w:val="18"/>
        </w:rPr>
        <w:t xml:space="preserve"> representa </w:t>
      </w:r>
      <w:r w:rsidRPr="009A5967">
        <w:rPr>
          <w:rFonts w:ascii="Arial" w:hAnsi="Arial" w:cs="Arial"/>
          <w:sz w:val="18"/>
          <w:szCs w:val="18"/>
        </w:rPr>
        <w:t xml:space="preserve">el </w:t>
      </w:r>
      <w:r w:rsidR="00B803CE">
        <w:rPr>
          <w:rFonts w:ascii="Arial" w:hAnsi="Arial" w:cs="Arial"/>
          <w:sz w:val="18"/>
          <w:szCs w:val="18"/>
        </w:rPr>
        <w:t>63.26</w:t>
      </w:r>
      <w:r>
        <w:rPr>
          <w:rFonts w:ascii="Arial" w:hAnsi="Arial" w:cs="Arial"/>
          <w:sz w:val="18"/>
          <w:szCs w:val="18"/>
        </w:rPr>
        <w:t xml:space="preserve">%, mientras que el </w:t>
      </w:r>
      <w:r w:rsidR="00B803CE">
        <w:rPr>
          <w:rFonts w:ascii="Arial" w:hAnsi="Arial" w:cs="Arial"/>
          <w:sz w:val="18"/>
          <w:szCs w:val="18"/>
        </w:rPr>
        <w:t>2</w:t>
      </w:r>
      <w:r w:rsidR="001E4CC8">
        <w:rPr>
          <w:rFonts w:ascii="Arial" w:hAnsi="Arial" w:cs="Arial"/>
          <w:sz w:val="18"/>
          <w:szCs w:val="18"/>
        </w:rPr>
        <w:t>1</w:t>
      </w:r>
      <w:r w:rsidR="0004354B">
        <w:rPr>
          <w:rFonts w:ascii="Arial" w:hAnsi="Arial" w:cs="Arial"/>
          <w:sz w:val="18"/>
          <w:szCs w:val="18"/>
        </w:rPr>
        <w:t>.</w:t>
      </w:r>
      <w:r w:rsidR="00B803CE">
        <w:rPr>
          <w:rFonts w:ascii="Arial" w:hAnsi="Arial" w:cs="Arial"/>
          <w:sz w:val="18"/>
          <w:szCs w:val="18"/>
        </w:rPr>
        <w:t>86</w:t>
      </w:r>
      <w:r>
        <w:rPr>
          <w:rFonts w:ascii="Arial" w:hAnsi="Arial" w:cs="Arial"/>
          <w:sz w:val="18"/>
          <w:szCs w:val="18"/>
        </w:rPr>
        <w:t xml:space="preserve">% </w:t>
      </w:r>
      <w:r w:rsidR="005614C3">
        <w:rPr>
          <w:rFonts w:ascii="Arial" w:hAnsi="Arial" w:cs="Arial"/>
          <w:sz w:val="18"/>
          <w:szCs w:val="18"/>
        </w:rPr>
        <w:t>fu</w:t>
      </w:r>
      <w:r>
        <w:rPr>
          <w:rFonts w:ascii="Arial" w:hAnsi="Arial" w:cs="Arial"/>
          <w:sz w:val="18"/>
          <w:szCs w:val="18"/>
        </w:rPr>
        <w:t>e destinado para el pago de</w:t>
      </w:r>
      <w:r w:rsidRPr="00F350EB">
        <w:rPr>
          <w:rFonts w:ascii="Arial" w:hAnsi="Arial" w:cs="Arial"/>
          <w:sz w:val="18"/>
          <w:szCs w:val="18"/>
        </w:rPr>
        <w:t xml:space="preserve"> toda clase de insumos y suministros</w:t>
      </w:r>
      <w:r>
        <w:rPr>
          <w:rFonts w:ascii="Arial" w:hAnsi="Arial" w:cs="Arial"/>
          <w:sz w:val="18"/>
          <w:szCs w:val="18"/>
        </w:rPr>
        <w:t xml:space="preserve"> </w:t>
      </w:r>
      <w:r w:rsidRPr="00F350EB">
        <w:rPr>
          <w:rFonts w:ascii="Arial" w:hAnsi="Arial" w:cs="Arial"/>
          <w:sz w:val="18"/>
          <w:szCs w:val="18"/>
        </w:rPr>
        <w:t xml:space="preserve">requeridos para la prestación </w:t>
      </w:r>
      <w:r>
        <w:rPr>
          <w:rFonts w:ascii="Arial" w:hAnsi="Arial" w:cs="Arial"/>
          <w:sz w:val="18"/>
          <w:szCs w:val="18"/>
        </w:rPr>
        <w:t>del</w:t>
      </w:r>
      <w:r w:rsidRPr="00F350EB">
        <w:rPr>
          <w:rFonts w:ascii="Arial" w:hAnsi="Arial" w:cs="Arial"/>
          <w:sz w:val="18"/>
          <w:szCs w:val="18"/>
        </w:rPr>
        <w:t xml:space="preserve"> servicio y desempeño de las actividades administrativas</w:t>
      </w:r>
      <w:r w:rsidR="00274905">
        <w:rPr>
          <w:rFonts w:ascii="Arial" w:hAnsi="Arial" w:cs="Arial"/>
          <w:sz w:val="18"/>
          <w:szCs w:val="18"/>
        </w:rPr>
        <w:t>,</w:t>
      </w:r>
      <w:r>
        <w:rPr>
          <w:rFonts w:ascii="Arial" w:hAnsi="Arial" w:cs="Arial"/>
          <w:sz w:val="18"/>
          <w:szCs w:val="18"/>
        </w:rPr>
        <w:t xml:space="preserve"> el </w:t>
      </w:r>
      <w:r w:rsidR="00B803CE">
        <w:rPr>
          <w:rFonts w:ascii="Arial" w:hAnsi="Arial" w:cs="Arial"/>
          <w:sz w:val="18"/>
          <w:szCs w:val="18"/>
        </w:rPr>
        <w:t>14.65</w:t>
      </w:r>
      <w:r>
        <w:rPr>
          <w:rFonts w:ascii="Arial" w:hAnsi="Arial" w:cs="Arial"/>
          <w:sz w:val="18"/>
          <w:szCs w:val="18"/>
        </w:rPr>
        <w:t>% se desti</w:t>
      </w:r>
      <w:r w:rsidR="005614C3">
        <w:rPr>
          <w:rFonts w:ascii="Arial" w:hAnsi="Arial" w:cs="Arial"/>
          <w:sz w:val="18"/>
          <w:szCs w:val="18"/>
        </w:rPr>
        <w:t>nó</w:t>
      </w:r>
      <w:r>
        <w:rPr>
          <w:rFonts w:ascii="Arial" w:hAnsi="Arial" w:cs="Arial"/>
          <w:sz w:val="18"/>
          <w:szCs w:val="18"/>
        </w:rPr>
        <w:t xml:space="preserve"> para </w:t>
      </w:r>
      <w:r w:rsidR="005614C3">
        <w:rPr>
          <w:rFonts w:ascii="Arial" w:hAnsi="Arial" w:cs="Arial"/>
          <w:sz w:val="18"/>
          <w:szCs w:val="18"/>
        </w:rPr>
        <w:t xml:space="preserve">el </w:t>
      </w:r>
      <w:r>
        <w:rPr>
          <w:rFonts w:ascii="Arial" w:hAnsi="Arial" w:cs="Arial"/>
          <w:sz w:val="18"/>
          <w:szCs w:val="18"/>
        </w:rPr>
        <w:t>pago de servicios generales</w:t>
      </w:r>
      <w:r w:rsidR="0004354B">
        <w:rPr>
          <w:rFonts w:ascii="Arial" w:hAnsi="Arial" w:cs="Arial"/>
          <w:sz w:val="18"/>
          <w:szCs w:val="18"/>
        </w:rPr>
        <w:t xml:space="preserve"> y</w:t>
      </w:r>
      <w:r w:rsidR="005614C3">
        <w:rPr>
          <w:rFonts w:ascii="Arial" w:hAnsi="Arial" w:cs="Arial"/>
          <w:sz w:val="18"/>
          <w:szCs w:val="18"/>
        </w:rPr>
        <w:t xml:space="preserve"> finalmente</w:t>
      </w:r>
      <w:r w:rsidR="0004354B">
        <w:rPr>
          <w:rFonts w:ascii="Arial" w:hAnsi="Arial" w:cs="Arial"/>
          <w:sz w:val="18"/>
          <w:szCs w:val="18"/>
        </w:rPr>
        <w:t xml:space="preserve"> </w:t>
      </w:r>
      <w:r w:rsidR="0079173A">
        <w:rPr>
          <w:rFonts w:ascii="Arial" w:hAnsi="Arial" w:cs="Arial"/>
          <w:sz w:val="18"/>
          <w:szCs w:val="18"/>
        </w:rPr>
        <w:t>el 0.</w:t>
      </w:r>
      <w:r w:rsidR="00B803CE">
        <w:rPr>
          <w:rFonts w:ascii="Arial" w:hAnsi="Arial" w:cs="Arial"/>
          <w:sz w:val="18"/>
          <w:szCs w:val="18"/>
        </w:rPr>
        <w:t>24</w:t>
      </w:r>
      <w:r w:rsidR="003C1E83">
        <w:rPr>
          <w:rFonts w:ascii="Arial" w:hAnsi="Arial" w:cs="Arial"/>
          <w:sz w:val="18"/>
          <w:szCs w:val="18"/>
        </w:rPr>
        <w:t>%</w:t>
      </w:r>
      <w:r w:rsidR="00323DA4">
        <w:rPr>
          <w:rFonts w:ascii="Arial" w:hAnsi="Arial" w:cs="Arial"/>
          <w:sz w:val="18"/>
          <w:szCs w:val="18"/>
        </w:rPr>
        <w:t xml:space="preserve"> </w:t>
      </w:r>
      <w:r w:rsidR="0004354B">
        <w:rPr>
          <w:rFonts w:ascii="Arial" w:hAnsi="Arial" w:cs="Arial"/>
          <w:sz w:val="18"/>
          <w:szCs w:val="18"/>
        </w:rPr>
        <w:t>por concepto de</w:t>
      </w:r>
      <w:r>
        <w:rPr>
          <w:rFonts w:ascii="Arial" w:hAnsi="Arial" w:cs="Arial"/>
          <w:sz w:val="18"/>
          <w:szCs w:val="18"/>
        </w:rPr>
        <w:t xml:space="preserve"> ayudas sociales</w:t>
      </w:r>
      <w:r w:rsidR="00387376">
        <w:rPr>
          <w:rFonts w:ascii="Arial" w:hAnsi="Arial" w:cs="Arial"/>
          <w:sz w:val="18"/>
          <w:szCs w:val="18"/>
        </w:rPr>
        <w:t xml:space="preserve"> para la </w:t>
      </w:r>
      <w:r w:rsidR="001E4CC8">
        <w:rPr>
          <w:rFonts w:ascii="Arial" w:hAnsi="Arial" w:cs="Arial"/>
          <w:sz w:val="18"/>
          <w:szCs w:val="18"/>
        </w:rPr>
        <w:t>Beneficencia Pública</w:t>
      </w:r>
      <w:r w:rsidR="00387376">
        <w:rPr>
          <w:rFonts w:ascii="Arial" w:hAnsi="Arial" w:cs="Arial"/>
          <w:sz w:val="18"/>
          <w:szCs w:val="18"/>
        </w:rPr>
        <w:t>, atención ciudadana</w:t>
      </w:r>
      <w:r w:rsidR="005737CC">
        <w:rPr>
          <w:rFonts w:ascii="Arial" w:hAnsi="Arial" w:cs="Arial"/>
          <w:sz w:val="18"/>
          <w:szCs w:val="18"/>
        </w:rPr>
        <w:t>,</w:t>
      </w:r>
      <w:r w:rsidR="001E4CC8">
        <w:rPr>
          <w:rFonts w:ascii="Arial" w:hAnsi="Arial" w:cs="Arial"/>
          <w:sz w:val="18"/>
          <w:szCs w:val="18"/>
        </w:rPr>
        <w:t xml:space="preserve"> aportaciones al Centro de Rehabilitación Integral (CRI)</w:t>
      </w:r>
      <w:r w:rsidR="005737CC">
        <w:rPr>
          <w:rFonts w:ascii="Arial" w:hAnsi="Arial" w:cs="Arial"/>
          <w:sz w:val="18"/>
          <w:szCs w:val="18"/>
        </w:rPr>
        <w:t xml:space="preserve"> y al </w:t>
      </w:r>
      <w:r w:rsidR="005737CC" w:rsidRPr="005737CC">
        <w:rPr>
          <w:rFonts w:ascii="Arial" w:hAnsi="Arial" w:cs="Arial"/>
          <w:sz w:val="18"/>
          <w:szCs w:val="18"/>
        </w:rPr>
        <w:t>Régimen Estatal de Protección Social en Salud de Tlaxcala</w:t>
      </w:r>
      <w:r w:rsidR="00323DA4">
        <w:rPr>
          <w:rFonts w:ascii="Arial" w:hAnsi="Arial" w:cs="Arial"/>
          <w:sz w:val="18"/>
          <w:szCs w:val="18"/>
        </w:rPr>
        <w:t>.</w:t>
      </w:r>
      <w:r w:rsidR="001E4CC8">
        <w:rPr>
          <w:rFonts w:ascii="Arial" w:hAnsi="Arial" w:cs="Arial"/>
          <w:sz w:val="18"/>
          <w:szCs w:val="18"/>
        </w:rPr>
        <w:t xml:space="preserve"> </w:t>
      </w:r>
    </w:p>
    <w:p w14:paraId="5B039C7B" w14:textId="77777777" w:rsidR="002E5ED2" w:rsidRPr="009A5967" w:rsidRDefault="002E5ED2" w:rsidP="00082C0D">
      <w:pPr>
        <w:pStyle w:val="ROMANOS"/>
        <w:spacing w:after="0" w:line="240" w:lineRule="exact"/>
        <w:ind w:left="0" w:firstLine="0"/>
        <w:rPr>
          <w:lang w:val="es-MX"/>
        </w:rPr>
      </w:pPr>
    </w:p>
    <w:p w14:paraId="620EF998" w14:textId="77777777" w:rsidR="00AC7F8A" w:rsidRDefault="00AC7F8A" w:rsidP="00AC7F8A">
      <w:pPr>
        <w:pStyle w:val="INCISO"/>
        <w:spacing w:after="0" w:line="240" w:lineRule="exact"/>
        <w:ind w:left="360"/>
        <w:jc w:val="center"/>
        <w:rPr>
          <w:b/>
          <w:smallCaps/>
        </w:rPr>
      </w:pPr>
      <w:r w:rsidRPr="00994CB8">
        <w:rPr>
          <w:b/>
          <w:smallCaps/>
        </w:rPr>
        <w:t>III)</w:t>
      </w:r>
      <w:r w:rsidRPr="00994CB8">
        <w:rPr>
          <w:b/>
          <w:smallCaps/>
        </w:rPr>
        <w:tab/>
        <w:t>Notas al Estado de Variación en la Hacienda Pública</w:t>
      </w:r>
    </w:p>
    <w:p w14:paraId="620EF999" w14:textId="77777777" w:rsidR="00E11756" w:rsidRPr="00994CB8" w:rsidRDefault="00E11756" w:rsidP="00AC7F8A">
      <w:pPr>
        <w:pStyle w:val="INCISO"/>
        <w:spacing w:after="0" w:line="240" w:lineRule="exact"/>
        <w:ind w:left="360"/>
        <w:jc w:val="center"/>
        <w:rPr>
          <w:b/>
          <w:smallCaps/>
        </w:rPr>
      </w:pPr>
    </w:p>
    <w:p w14:paraId="620EF99A" w14:textId="0220D266" w:rsidR="00AC7F8A" w:rsidRPr="00630DB0" w:rsidRDefault="00AC7F8A" w:rsidP="00AC7F8A">
      <w:pPr>
        <w:pStyle w:val="ROMANOS"/>
        <w:spacing w:after="0" w:line="240" w:lineRule="exact"/>
        <w:rPr>
          <w:lang w:val="es-MX"/>
        </w:rPr>
      </w:pPr>
      <w:r w:rsidRPr="00994CB8">
        <w:rPr>
          <w:lang w:val="es-MX"/>
        </w:rPr>
        <w:t>1.</w:t>
      </w:r>
      <w:r w:rsidRPr="00994CB8">
        <w:rPr>
          <w:lang w:val="es-MX"/>
        </w:rPr>
        <w:tab/>
      </w:r>
      <w:r>
        <w:rPr>
          <w:lang w:val="es-MX"/>
        </w:rPr>
        <w:t>No se tiene patrimonio contribuido</w:t>
      </w:r>
      <w:r w:rsidR="005614C3">
        <w:rPr>
          <w:lang w:val="es-MX"/>
        </w:rPr>
        <w:t xml:space="preserve"> al periodo que se presenta</w:t>
      </w:r>
      <w:r>
        <w:rPr>
          <w:lang w:val="es-MX"/>
        </w:rPr>
        <w:t>.</w:t>
      </w:r>
    </w:p>
    <w:p w14:paraId="620EF99B" w14:textId="5227C73E" w:rsidR="00AC7F8A" w:rsidRDefault="00AC7F8A" w:rsidP="00AC7F8A">
      <w:pPr>
        <w:pStyle w:val="ROMANOS"/>
        <w:spacing w:after="0" w:line="240" w:lineRule="exact"/>
        <w:rPr>
          <w:lang w:val="es-MX"/>
        </w:rPr>
      </w:pPr>
      <w:r w:rsidRPr="00630DB0">
        <w:rPr>
          <w:lang w:val="es-MX"/>
        </w:rPr>
        <w:t>2.</w:t>
      </w:r>
      <w:r w:rsidRPr="00630DB0">
        <w:rPr>
          <w:lang w:val="es-MX"/>
        </w:rPr>
        <w:tab/>
      </w:r>
      <w:r w:rsidRPr="00E11756">
        <w:rPr>
          <w:lang w:val="es-MX"/>
        </w:rPr>
        <w:t>Las modificaciones al patrimonio generado correspondieron a la aplicación de remanentes de ejercicio</w:t>
      </w:r>
      <w:r w:rsidR="002E38A5">
        <w:rPr>
          <w:lang w:val="es-MX"/>
        </w:rPr>
        <w:t>s</w:t>
      </w:r>
      <w:r w:rsidRPr="00E11756">
        <w:rPr>
          <w:lang w:val="es-MX"/>
        </w:rPr>
        <w:t xml:space="preserve"> anteriores.</w:t>
      </w:r>
    </w:p>
    <w:p w14:paraId="620EF99C" w14:textId="38105709" w:rsidR="0004354B" w:rsidRDefault="0004354B" w:rsidP="00AC7F8A">
      <w:pPr>
        <w:pStyle w:val="ROMANOS"/>
        <w:spacing w:after="0" w:line="240" w:lineRule="exact"/>
        <w:ind w:left="1008" w:firstLine="0"/>
        <w:rPr>
          <w:lang w:val="es-MX"/>
        </w:rPr>
      </w:pPr>
    </w:p>
    <w:p w14:paraId="65E7C980" w14:textId="082A11C3" w:rsidR="00565193" w:rsidRDefault="00565193" w:rsidP="00AC7F8A">
      <w:pPr>
        <w:pStyle w:val="ROMANOS"/>
        <w:spacing w:after="0" w:line="240" w:lineRule="exact"/>
        <w:ind w:left="1008" w:firstLine="0"/>
        <w:rPr>
          <w:lang w:val="es-MX"/>
        </w:rPr>
      </w:pPr>
    </w:p>
    <w:p w14:paraId="50F82CA5" w14:textId="5BD5A8BB" w:rsidR="00565193" w:rsidRDefault="00565193" w:rsidP="00AC7F8A">
      <w:pPr>
        <w:pStyle w:val="ROMANOS"/>
        <w:spacing w:after="0" w:line="240" w:lineRule="exact"/>
        <w:ind w:left="1008" w:firstLine="0"/>
        <w:rPr>
          <w:lang w:val="es-MX"/>
        </w:rPr>
      </w:pPr>
    </w:p>
    <w:p w14:paraId="2EB6F244" w14:textId="3B78D67F" w:rsidR="00565193" w:rsidRDefault="00565193" w:rsidP="00AC7F8A">
      <w:pPr>
        <w:pStyle w:val="ROMANOS"/>
        <w:spacing w:after="0" w:line="240" w:lineRule="exact"/>
        <w:ind w:left="1008" w:firstLine="0"/>
        <w:rPr>
          <w:lang w:val="es-MX"/>
        </w:rPr>
      </w:pPr>
    </w:p>
    <w:p w14:paraId="5A34C100" w14:textId="34DCF4D1" w:rsidR="00565193" w:rsidRDefault="00565193" w:rsidP="00AC7F8A">
      <w:pPr>
        <w:pStyle w:val="ROMANOS"/>
        <w:spacing w:after="0" w:line="240" w:lineRule="exact"/>
        <w:ind w:left="1008" w:firstLine="0"/>
        <w:rPr>
          <w:lang w:val="es-MX"/>
        </w:rPr>
      </w:pPr>
    </w:p>
    <w:p w14:paraId="1BA8CB46" w14:textId="358AEBA3" w:rsidR="00565193" w:rsidRDefault="00565193" w:rsidP="00AC7F8A">
      <w:pPr>
        <w:pStyle w:val="ROMANOS"/>
        <w:spacing w:after="0" w:line="240" w:lineRule="exact"/>
        <w:ind w:left="1008" w:firstLine="0"/>
        <w:rPr>
          <w:lang w:val="es-MX"/>
        </w:rPr>
      </w:pPr>
    </w:p>
    <w:p w14:paraId="2D7E9053" w14:textId="6B739E43" w:rsidR="00565193" w:rsidRDefault="00565193" w:rsidP="00AC7F8A">
      <w:pPr>
        <w:pStyle w:val="ROMANOS"/>
        <w:spacing w:after="0" w:line="240" w:lineRule="exact"/>
        <w:ind w:left="1008" w:firstLine="0"/>
        <w:rPr>
          <w:lang w:val="es-MX"/>
        </w:rPr>
      </w:pPr>
    </w:p>
    <w:p w14:paraId="4D8B4F93" w14:textId="74788F25" w:rsidR="00565193" w:rsidRDefault="00565193" w:rsidP="00AC7F8A">
      <w:pPr>
        <w:pStyle w:val="ROMANOS"/>
        <w:spacing w:after="0" w:line="240" w:lineRule="exact"/>
        <w:ind w:left="1008" w:firstLine="0"/>
        <w:rPr>
          <w:lang w:val="es-MX"/>
        </w:rPr>
      </w:pPr>
    </w:p>
    <w:p w14:paraId="501868FD" w14:textId="53809723" w:rsidR="00565193" w:rsidRDefault="00565193" w:rsidP="00AC7F8A">
      <w:pPr>
        <w:pStyle w:val="ROMANOS"/>
        <w:spacing w:after="0" w:line="240" w:lineRule="exact"/>
        <w:ind w:left="1008" w:firstLine="0"/>
        <w:rPr>
          <w:lang w:val="es-MX"/>
        </w:rPr>
      </w:pPr>
    </w:p>
    <w:p w14:paraId="620EF99D" w14:textId="77777777" w:rsidR="00AC7F8A" w:rsidRPr="00630DB0" w:rsidRDefault="00AC7F8A" w:rsidP="00AC7F8A">
      <w:pPr>
        <w:pStyle w:val="INCISO"/>
        <w:spacing w:after="0" w:line="240" w:lineRule="exact"/>
        <w:ind w:left="360"/>
        <w:jc w:val="center"/>
        <w:rPr>
          <w:b/>
          <w:smallCaps/>
        </w:rPr>
      </w:pPr>
      <w:r w:rsidRPr="00630DB0">
        <w:rPr>
          <w:b/>
          <w:smallCaps/>
        </w:rPr>
        <w:t>IV)</w:t>
      </w:r>
      <w:r w:rsidRPr="00630DB0">
        <w:rPr>
          <w:b/>
          <w:smallCaps/>
        </w:rPr>
        <w:tab/>
        <w:t>Notas al Estado de Flujos de Efectivo</w:t>
      </w:r>
    </w:p>
    <w:p w14:paraId="620EF99F" w14:textId="77777777" w:rsidR="00AC7F8A" w:rsidRDefault="00AC7F8A" w:rsidP="00082C0D">
      <w:pPr>
        <w:pStyle w:val="ROMANOS"/>
        <w:spacing w:after="0" w:line="240" w:lineRule="exact"/>
        <w:ind w:left="0" w:firstLine="0"/>
        <w:rPr>
          <w:b/>
          <w:lang w:val="es-MX"/>
        </w:rPr>
      </w:pPr>
    </w:p>
    <w:p w14:paraId="620EF9A0" w14:textId="1373BEDE" w:rsidR="00AC7F8A" w:rsidRPr="007D286F" w:rsidRDefault="00AC7F8A" w:rsidP="00AC7F8A">
      <w:pPr>
        <w:pStyle w:val="ROMANOS"/>
        <w:tabs>
          <w:tab w:val="clear" w:pos="720"/>
          <w:tab w:val="left" w:pos="288"/>
        </w:tabs>
        <w:spacing w:after="0" w:line="240" w:lineRule="exact"/>
        <w:ind w:left="284" w:firstLine="4"/>
        <w:rPr>
          <w:lang w:val="es-MX"/>
        </w:rPr>
      </w:pPr>
      <w:r w:rsidRPr="007D286F">
        <w:rPr>
          <w:lang w:val="es-MX"/>
        </w:rPr>
        <w:t>Su finalidad es proveer de información sobre los flujos de efectivo identificando las fuentes de entradas y salidas de recursos, clasificadas por actividades</w:t>
      </w:r>
      <w:r>
        <w:rPr>
          <w:lang w:val="es-MX"/>
        </w:rPr>
        <w:t xml:space="preserve"> de operación, </w:t>
      </w:r>
      <w:r w:rsidRPr="007D286F">
        <w:rPr>
          <w:lang w:val="es-MX"/>
        </w:rPr>
        <w:t>de inversión y de financiamiento</w:t>
      </w:r>
      <w:r w:rsidR="00507531">
        <w:rPr>
          <w:lang w:val="es-MX"/>
        </w:rPr>
        <w:t>.</w:t>
      </w:r>
    </w:p>
    <w:p w14:paraId="620EF9A1" w14:textId="77777777" w:rsidR="00AC7F8A" w:rsidRDefault="00AC7F8A" w:rsidP="00AC7F8A">
      <w:pPr>
        <w:pStyle w:val="ROMANOS"/>
        <w:spacing w:after="0" w:line="240" w:lineRule="exact"/>
        <w:rPr>
          <w:b/>
          <w:lang w:val="es-MX"/>
        </w:rPr>
      </w:pPr>
    </w:p>
    <w:p w14:paraId="620EF9A2" w14:textId="77777777" w:rsidR="00AC7F8A" w:rsidRPr="00630DB0" w:rsidRDefault="00AC7F8A" w:rsidP="00AC7F8A">
      <w:pPr>
        <w:pStyle w:val="ROMANOS"/>
        <w:spacing w:after="0" w:line="240" w:lineRule="exact"/>
        <w:rPr>
          <w:b/>
          <w:lang w:val="es-MX"/>
        </w:rPr>
      </w:pPr>
      <w:r w:rsidRPr="00630DB0">
        <w:rPr>
          <w:b/>
          <w:lang w:val="es-MX"/>
        </w:rPr>
        <w:t>Efectivo y equivalentes</w:t>
      </w:r>
    </w:p>
    <w:p w14:paraId="620EF9A3" w14:textId="77777777" w:rsidR="00AC7F8A" w:rsidRPr="00630DB0" w:rsidRDefault="00AC7F8A" w:rsidP="00AC7F8A">
      <w:pPr>
        <w:pStyle w:val="ROMANOS"/>
        <w:spacing w:after="0" w:line="240" w:lineRule="exact"/>
        <w:rPr>
          <w:lang w:val="es-MX"/>
        </w:rPr>
      </w:pPr>
      <w:r w:rsidRPr="00630DB0">
        <w:rPr>
          <w:lang w:val="es-MX"/>
        </w:rPr>
        <w:t>El análisis de los saldos inicial y final que figuran en la última parte del Estado de Flujo de Efectivo en la cuenta de efectivo y equivalentes es como sigue:</w:t>
      </w:r>
    </w:p>
    <w:p w14:paraId="620EF9A4" w14:textId="77777777" w:rsidR="00AC7F8A" w:rsidRPr="00630DB0" w:rsidRDefault="00AC7F8A" w:rsidP="00AC7F8A">
      <w:pPr>
        <w:pStyle w:val="ROMANOS"/>
        <w:spacing w:after="0" w:line="240" w:lineRule="exact"/>
        <w:ind w:left="648" w:firstLine="0"/>
        <w:rPr>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AC7F8A" w:rsidRPr="002C6BD8" w14:paraId="620EF9A8" w14:textId="77777777" w:rsidTr="00FF62DE">
        <w:trPr>
          <w:jc w:val="center"/>
        </w:trPr>
        <w:tc>
          <w:tcPr>
            <w:tcW w:w="3584" w:type="dxa"/>
          </w:tcPr>
          <w:p w14:paraId="620EF9A5" w14:textId="2F11A37C" w:rsidR="00AC7F8A" w:rsidRPr="00630DB0" w:rsidRDefault="00AC7F8A" w:rsidP="00AD6257">
            <w:pPr>
              <w:pStyle w:val="Texto"/>
              <w:spacing w:after="0" w:line="240" w:lineRule="exact"/>
              <w:ind w:firstLine="0"/>
              <w:rPr>
                <w:szCs w:val="18"/>
                <w:lang w:val="es-MX"/>
              </w:rPr>
            </w:pPr>
          </w:p>
        </w:tc>
        <w:tc>
          <w:tcPr>
            <w:tcW w:w="1798" w:type="dxa"/>
          </w:tcPr>
          <w:p w14:paraId="620EF9A6" w14:textId="7B18958D" w:rsidR="00AC7F8A" w:rsidRPr="002C6BD8" w:rsidRDefault="00AC7F8A" w:rsidP="0004354B">
            <w:pPr>
              <w:pStyle w:val="Texto"/>
              <w:spacing w:after="0" w:line="240" w:lineRule="exact"/>
              <w:ind w:firstLine="0"/>
              <w:jc w:val="center"/>
              <w:rPr>
                <w:szCs w:val="18"/>
                <w:lang w:val="es-MX"/>
              </w:rPr>
            </w:pPr>
            <w:r w:rsidRPr="002C6BD8">
              <w:rPr>
                <w:szCs w:val="18"/>
                <w:lang w:val="es-MX"/>
              </w:rPr>
              <w:t>20</w:t>
            </w:r>
            <w:r w:rsidR="00FF62DE">
              <w:rPr>
                <w:szCs w:val="18"/>
                <w:lang w:val="es-MX"/>
              </w:rPr>
              <w:t>20</w:t>
            </w:r>
          </w:p>
        </w:tc>
        <w:tc>
          <w:tcPr>
            <w:tcW w:w="1843" w:type="dxa"/>
          </w:tcPr>
          <w:p w14:paraId="620EF9A7" w14:textId="5EB80D08" w:rsidR="00AC7F8A" w:rsidRPr="002C6BD8" w:rsidRDefault="00AC7F8A" w:rsidP="0004354B">
            <w:pPr>
              <w:pStyle w:val="Texto"/>
              <w:spacing w:after="0" w:line="240" w:lineRule="exact"/>
              <w:ind w:firstLine="0"/>
              <w:jc w:val="center"/>
              <w:rPr>
                <w:szCs w:val="18"/>
                <w:lang w:val="es-MX"/>
              </w:rPr>
            </w:pPr>
            <w:r w:rsidRPr="002C6BD8">
              <w:rPr>
                <w:szCs w:val="18"/>
                <w:lang w:val="es-MX"/>
              </w:rPr>
              <w:t>20</w:t>
            </w:r>
            <w:r w:rsidR="00FF62DE">
              <w:rPr>
                <w:szCs w:val="18"/>
                <w:lang w:val="es-MX"/>
              </w:rPr>
              <w:t>19</w:t>
            </w:r>
          </w:p>
        </w:tc>
      </w:tr>
      <w:tr w:rsidR="00AC7F8A" w:rsidRPr="002C6BD8" w14:paraId="620EF9AC" w14:textId="77777777" w:rsidTr="00FF62DE">
        <w:trPr>
          <w:trHeight w:val="205"/>
          <w:jc w:val="center"/>
        </w:trPr>
        <w:tc>
          <w:tcPr>
            <w:tcW w:w="3584" w:type="dxa"/>
          </w:tcPr>
          <w:p w14:paraId="620EF9A9" w14:textId="77777777" w:rsidR="00AC7F8A" w:rsidRPr="002C6BD8" w:rsidRDefault="00AC7F8A" w:rsidP="00AD6257">
            <w:pPr>
              <w:pStyle w:val="Texto"/>
              <w:spacing w:after="0" w:line="240" w:lineRule="exact"/>
              <w:ind w:firstLine="0"/>
              <w:rPr>
                <w:szCs w:val="18"/>
                <w:lang w:val="es-MX"/>
              </w:rPr>
            </w:pPr>
            <w:r w:rsidRPr="002C6BD8">
              <w:rPr>
                <w:szCs w:val="18"/>
                <w:lang w:val="es-MX"/>
              </w:rPr>
              <w:t>Efectivo en Bancos –Tesorería</w:t>
            </w:r>
          </w:p>
        </w:tc>
        <w:tc>
          <w:tcPr>
            <w:tcW w:w="1798" w:type="dxa"/>
          </w:tcPr>
          <w:p w14:paraId="620EF9AA" w14:textId="3544033A" w:rsidR="00AC7F8A" w:rsidRPr="002C6BD8" w:rsidRDefault="005737CC" w:rsidP="005737CC">
            <w:pPr>
              <w:pStyle w:val="Texto"/>
              <w:spacing w:after="0" w:line="240" w:lineRule="exact"/>
              <w:ind w:firstLine="0"/>
              <w:jc w:val="right"/>
              <w:rPr>
                <w:szCs w:val="18"/>
                <w:lang w:val="es-MX"/>
              </w:rPr>
            </w:pPr>
            <w:r w:rsidRPr="005737CC">
              <w:rPr>
                <w:szCs w:val="18"/>
                <w:lang w:val="es-MX"/>
              </w:rPr>
              <w:t>836,054,828.25</w:t>
            </w:r>
          </w:p>
        </w:tc>
        <w:tc>
          <w:tcPr>
            <w:tcW w:w="1843" w:type="dxa"/>
          </w:tcPr>
          <w:p w14:paraId="620EF9AB" w14:textId="6B6D1103" w:rsidR="00AC7F8A" w:rsidRPr="002C6BD8" w:rsidRDefault="00FF62DE" w:rsidP="00672F24">
            <w:pPr>
              <w:pStyle w:val="Texto"/>
              <w:spacing w:after="0" w:line="240" w:lineRule="exact"/>
              <w:ind w:firstLine="0"/>
              <w:jc w:val="right"/>
              <w:rPr>
                <w:szCs w:val="18"/>
                <w:lang w:val="es-MX"/>
              </w:rPr>
            </w:pPr>
            <w:r w:rsidRPr="00FF62DE">
              <w:rPr>
                <w:szCs w:val="18"/>
                <w:lang w:val="es-MX"/>
              </w:rPr>
              <w:t>579,664,035.43</w:t>
            </w:r>
          </w:p>
        </w:tc>
      </w:tr>
      <w:tr w:rsidR="002E38A5" w:rsidRPr="002C6BD8" w14:paraId="620EF9B0" w14:textId="77777777" w:rsidTr="00FF62DE">
        <w:trPr>
          <w:jc w:val="center"/>
        </w:trPr>
        <w:tc>
          <w:tcPr>
            <w:tcW w:w="3584" w:type="dxa"/>
          </w:tcPr>
          <w:p w14:paraId="620EF9AD" w14:textId="77777777" w:rsidR="002E38A5" w:rsidRPr="002C6BD8" w:rsidRDefault="002E38A5" w:rsidP="002E38A5">
            <w:pPr>
              <w:pStyle w:val="Texto"/>
              <w:spacing w:after="0" w:line="240" w:lineRule="exact"/>
              <w:ind w:firstLine="0"/>
              <w:rPr>
                <w:szCs w:val="18"/>
                <w:lang w:val="es-MX"/>
              </w:rPr>
            </w:pPr>
            <w:r w:rsidRPr="002C6BD8">
              <w:rPr>
                <w:szCs w:val="18"/>
                <w:lang w:val="es-MX"/>
              </w:rPr>
              <w:t>Efectivo en Bancos- Dependencias</w:t>
            </w:r>
          </w:p>
        </w:tc>
        <w:tc>
          <w:tcPr>
            <w:tcW w:w="1798" w:type="dxa"/>
          </w:tcPr>
          <w:p w14:paraId="620EF9AE" w14:textId="0C84ED35" w:rsidR="002E38A5" w:rsidRPr="002C6BD8" w:rsidRDefault="002E38A5" w:rsidP="002E38A5">
            <w:pPr>
              <w:pStyle w:val="Texto"/>
              <w:spacing w:after="0" w:line="240" w:lineRule="exact"/>
              <w:ind w:firstLine="0"/>
              <w:jc w:val="right"/>
              <w:rPr>
                <w:szCs w:val="18"/>
                <w:lang w:val="es-MX"/>
              </w:rPr>
            </w:pPr>
            <w:r w:rsidRPr="00116688">
              <w:rPr>
                <w:szCs w:val="18"/>
                <w:lang w:val="es-MX"/>
              </w:rPr>
              <w:t>0.00</w:t>
            </w:r>
          </w:p>
        </w:tc>
        <w:tc>
          <w:tcPr>
            <w:tcW w:w="1843" w:type="dxa"/>
          </w:tcPr>
          <w:p w14:paraId="620EF9AF" w14:textId="6A3B09B2" w:rsidR="002E38A5" w:rsidRPr="002C6BD8" w:rsidRDefault="002E38A5" w:rsidP="002E38A5">
            <w:pPr>
              <w:pStyle w:val="Texto"/>
              <w:spacing w:after="0" w:line="240" w:lineRule="exact"/>
              <w:ind w:firstLine="0"/>
              <w:jc w:val="right"/>
              <w:rPr>
                <w:szCs w:val="18"/>
                <w:lang w:val="es-MX"/>
              </w:rPr>
            </w:pPr>
            <w:r w:rsidRPr="000B2442">
              <w:rPr>
                <w:szCs w:val="18"/>
                <w:lang w:val="es-MX"/>
              </w:rPr>
              <w:t>0.00</w:t>
            </w:r>
          </w:p>
        </w:tc>
      </w:tr>
      <w:tr w:rsidR="002E38A5" w:rsidRPr="002C6BD8" w14:paraId="620EF9B4" w14:textId="77777777" w:rsidTr="00FF62DE">
        <w:trPr>
          <w:jc w:val="center"/>
        </w:trPr>
        <w:tc>
          <w:tcPr>
            <w:tcW w:w="3584" w:type="dxa"/>
          </w:tcPr>
          <w:p w14:paraId="620EF9B1" w14:textId="77777777" w:rsidR="002E38A5" w:rsidRPr="002C6BD8" w:rsidRDefault="002E38A5" w:rsidP="002E38A5">
            <w:pPr>
              <w:pStyle w:val="Texto"/>
              <w:spacing w:after="0" w:line="240" w:lineRule="exact"/>
              <w:ind w:firstLine="0"/>
              <w:rPr>
                <w:szCs w:val="18"/>
                <w:lang w:val="es-MX"/>
              </w:rPr>
            </w:pPr>
            <w:r w:rsidRPr="002C6BD8">
              <w:rPr>
                <w:szCs w:val="18"/>
                <w:lang w:val="es-MX"/>
              </w:rPr>
              <w:t xml:space="preserve">Inversiones temporales (hasta 3 meses) </w:t>
            </w:r>
          </w:p>
        </w:tc>
        <w:tc>
          <w:tcPr>
            <w:tcW w:w="1798" w:type="dxa"/>
          </w:tcPr>
          <w:p w14:paraId="620EF9B2" w14:textId="4DB07116" w:rsidR="002E38A5" w:rsidRPr="002C6BD8" w:rsidRDefault="002E38A5" w:rsidP="002E38A5">
            <w:pPr>
              <w:pStyle w:val="Texto"/>
              <w:spacing w:after="0" w:line="240" w:lineRule="exact"/>
              <w:ind w:firstLine="0"/>
              <w:jc w:val="right"/>
              <w:rPr>
                <w:szCs w:val="18"/>
                <w:lang w:val="es-MX"/>
              </w:rPr>
            </w:pPr>
            <w:r w:rsidRPr="00116688">
              <w:rPr>
                <w:szCs w:val="18"/>
                <w:lang w:val="es-MX"/>
              </w:rPr>
              <w:t>0.00</w:t>
            </w:r>
          </w:p>
        </w:tc>
        <w:tc>
          <w:tcPr>
            <w:tcW w:w="1843" w:type="dxa"/>
          </w:tcPr>
          <w:p w14:paraId="620EF9B3" w14:textId="0DD46937" w:rsidR="002E38A5" w:rsidRPr="002C6BD8" w:rsidRDefault="002E38A5" w:rsidP="002E38A5">
            <w:pPr>
              <w:pStyle w:val="Texto"/>
              <w:spacing w:after="0" w:line="240" w:lineRule="exact"/>
              <w:ind w:firstLine="0"/>
              <w:jc w:val="right"/>
              <w:rPr>
                <w:szCs w:val="18"/>
                <w:lang w:val="es-MX"/>
              </w:rPr>
            </w:pPr>
            <w:r w:rsidRPr="000B2442">
              <w:rPr>
                <w:szCs w:val="18"/>
                <w:lang w:val="es-MX"/>
              </w:rPr>
              <w:t>0.00</w:t>
            </w:r>
          </w:p>
        </w:tc>
      </w:tr>
      <w:tr w:rsidR="002E38A5" w:rsidRPr="002C6BD8" w14:paraId="620EF9B8" w14:textId="77777777" w:rsidTr="00FF62DE">
        <w:trPr>
          <w:jc w:val="center"/>
        </w:trPr>
        <w:tc>
          <w:tcPr>
            <w:tcW w:w="3584" w:type="dxa"/>
          </w:tcPr>
          <w:p w14:paraId="620EF9B5" w14:textId="77777777" w:rsidR="002E38A5" w:rsidRPr="002C6BD8" w:rsidRDefault="002E38A5" w:rsidP="002E38A5">
            <w:pPr>
              <w:pStyle w:val="Texto"/>
              <w:spacing w:after="0" w:line="240" w:lineRule="exact"/>
              <w:ind w:firstLine="0"/>
              <w:rPr>
                <w:szCs w:val="18"/>
                <w:lang w:val="es-MX"/>
              </w:rPr>
            </w:pPr>
            <w:r w:rsidRPr="002C6BD8">
              <w:rPr>
                <w:szCs w:val="18"/>
                <w:lang w:val="es-MX"/>
              </w:rPr>
              <w:t>Fondos con afectación específica</w:t>
            </w:r>
          </w:p>
        </w:tc>
        <w:tc>
          <w:tcPr>
            <w:tcW w:w="1798" w:type="dxa"/>
          </w:tcPr>
          <w:p w14:paraId="620EF9B6" w14:textId="680DA095" w:rsidR="002E38A5" w:rsidRPr="002C6BD8" w:rsidRDefault="002E38A5" w:rsidP="002E38A5">
            <w:pPr>
              <w:pStyle w:val="Texto"/>
              <w:spacing w:after="0" w:line="240" w:lineRule="exact"/>
              <w:ind w:firstLine="0"/>
              <w:jc w:val="right"/>
              <w:rPr>
                <w:szCs w:val="18"/>
                <w:lang w:val="es-MX"/>
              </w:rPr>
            </w:pPr>
            <w:r w:rsidRPr="00116688">
              <w:rPr>
                <w:szCs w:val="18"/>
                <w:lang w:val="es-MX"/>
              </w:rPr>
              <w:t>0.00</w:t>
            </w:r>
          </w:p>
        </w:tc>
        <w:tc>
          <w:tcPr>
            <w:tcW w:w="1843" w:type="dxa"/>
          </w:tcPr>
          <w:p w14:paraId="620EF9B7" w14:textId="14777966" w:rsidR="002E38A5" w:rsidRPr="002C6BD8" w:rsidRDefault="002E38A5" w:rsidP="002E38A5">
            <w:pPr>
              <w:pStyle w:val="Texto"/>
              <w:spacing w:after="0" w:line="240" w:lineRule="exact"/>
              <w:ind w:firstLine="0"/>
              <w:jc w:val="right"/>
              <w:rPr>
                <w:szCs w:val="18"/>
                <w:lang w:val="es-MX"/>
              </w:rPr>
            </w:pPr>
            <w:r w:rsidRPr="000B2442">
              <w:rPr>
                <w:szCs w:val="18"/>
                <w:lang w:val="es-MX"/>
              </w:rPr>
              <w:t>0.00</w:t>
            </w:r>
          </w:p>
        </w:tc>
      </w:tr>
      <w:tr w:rsidR="002E38A5" w:rsidRPr="002C6BD8" w14:paraId="620EF9BC" w14:textId="77777777" w:rsidTr="00FF62DE">
        <w:trPr>
          <w:jc w:val="center"/>
        </w:trPr>
        <w:tc>
          <w:tcPr>
            <w:tcW w:w="3584" w:type="dxa"/>
          </w:tcPr>
          <w:p w14:paraId="620EF9B9" w14:textId="77777777" w:rsidR="002E38A5" w:rsidRPr="002C6BD8" w:rsidRDefault="002E38A5" w:rsidP="002E38A5">
            <w:pPr>
              <w:pStyle w:val="Texto"/>
              <w:spacing w:after="0" w:line="240" w:lineRule="exact"/>
              <w:ind w:firstLine="0"/>
              <w:rPr>
                <w:szCs w:val="18"/>
                <w:lang w:val="es-MX"/>
              </w:rPr>
            </w:pPr>
            <w:r w:rsidRPr="002C6BD8">
              <w:rPr>
                <w:szCs w:val="18"/>
                <w:lang w:val="es-MX"/>
              </w:rPr>
              <w:t>Depósitos de fondos de terceros y otros</w:t>
            </w:r>
          </w:p>
        </w:tc>
        <w:tc>
          <w:tcPr>
            <w:tcW w:w="1798" w:type="dxa"/>
          </w:tcPr>
          <w:p w14:paraId="620EF9BA" w14:textId="55064BE6" w:rsidR="002E38A5" w:rsidRPr="002C6BD8" w:rsidRDefault="002E38A5" w:rsidP="002E38A5">
            <w:pPr>
              <w:pStyle w:val="Texto"/>
              <w:spacing w:after="0" w:line="240" w:lineRule="exact"/>
              <w:ind w:firstLine="0"/>
              <w:jc w:val="right"/>
              <w:rPr>
                <w:szCs w:val="18"/>
                <w:lang w:val="es-MX"/>
              </w:rPr>
            </w:pPr>
            <w:r w:rsidRPr="00116688">
              <w:rPr>
                <w:szCs w:val="18"/>
                <w:lang w:val="es-MX"/>
              </w:rPr>
              <w:t>0.00</w:t>
            </w:r>
          </w:p>
        </w:tc>
        <w:tc>
          <w:tcPr>
            <w:tcW w:w="1843" w:type="dxa"/>
          </w:tcPr>
          <w:p w14:paraId="620EF9BB" w14:textId="2B43A425" w:rsidR="002E38A5" w:rsidRPr="002C6BD8" w:rsidRDefault="002E38A5" w:rsidP="002E38A5">
            <w:pPr>
              <w:pStyle w:val="Texto"/>
              <w:spacing w:after="0" w:line="240" w:lineRule="exact"/>
              <w:ind w:firstLine="0"/>
              <w:jc w:val="right"/>
              <w:rPr>
                <w:szCs w:val="18"/>
                <w:lang w:val="es-MX"/>
              </w:rPr>
            </w:pPr>
            <w:r w:rsidRPr="000B2442">
              <w:rPr>
                <w:szCs w:val="18"/>
                <w:lang w:val="es-MX"/>
              </w:rPr>
              <w:t>0.00</w:t>
            </w:r>
          </w:p>
        </w:tc>
      </w:tr>
      <w:tr w:rsidR="005737CC" w:rsidRPr="002E38A5" w14:paraId="620EF9C0" w14:textId="77777777" w:rsidTr="00FF62DE">
        <w:trPr>
          <w:jc w:val="center"/>
        </w:trPr>
        <w:tc>
          <w:tcPr>
            <w:tcW w:w="3584" w:type="dxa"/>
          </w:tcPr>
          <w:p w14:paraId="620EF9BD" w14:textId="77777777" w:rsidR="005737CC" w:rsidRPr="002E38A5" w:rsidRDefault="005737CC" w:rsidP="005737CC">
            <w:pPr>
              <w:pStyle w:val="Texto"/>
              <w:spacing w:after="0" w:line="240" w:lineRule="exact"/>
              <w:ind w:firstLine="0"/>
              <w:rPr>
                <w:b/>
                <w:szCs w:val="18"/>
                <w:lang w:val="es-MX"/>
              </w:rPr>
            </w:pPr>
            <w:proofErr w:type="gramStart"/>
            <w:r w:rsidRPr="002E38A5">
              <w:rPr>
                <w:b/>
                <w:szCs w:val="18"/>
                <w:lang w:val="es-MX"/>
              </w:rPr>
              <w:t>Total</w:t>
            </w:r>
            <w:proofErr w:type="gramEnd"/>
            <w:r w:rsidRPr="002E38A5">
              <w:rPr>
                <w:b/>
                <w:szCs w:val="18"/>
                <w:lang w:val="es-MX"/>
              </w:rPr>
              <w:t xml:space="preserve"> de Efectivo y Equivalentes</w:t>
            </w:r>
          </w:p>
        </w:tc>
        <w:tc>
          <w:tcPr>
            <w:tcW w:w="1798" w:type="dxa"/>
          </w:tcPr>
          <w:p w14:paraId="620EF9BE" w14:textId="5A550B56" w:rsidR="005737CC" w:rsidRPr="002E38A5" w:rsidRDefault="005737CC" w:rsidP="005737CC">
            <w:pPr>
              <w:pStyle w:val="Texto"/>
              <w:spacing w:after="0" w:line="240" w:lineRule="exact"/>
              <w:ind w:firstLine="0"/>
              <w:jc w:val="right"/>
              <w:rPr>
                <w:b/>
                <w:szCs w:val="18"/>
                <w:lang w:val="es-MX"/>
              </w:rPr>
            </w:pPr>
            <w:r w:rsidRPr="002E38A5">
              <w:rPr>
                <w:b/>
                <w:szCs w:val="18"/>
                <w:lang w:val="es-MX"/>
              </w:rPr>
              <w:t>836,054,828.25</w:t>
            </w:r>
          </w:p>
        </w:tc>
        <w:tc>
          <w:tcPr>
            <w:tcW w:w="1843" w:type="dxa"/>
          </w:tcPr>
          <w:p w14:paraId="620EF9BF" w14:textId="03398831" w:rsidR="005737CC" w:rsidRPr="002E38A5" w:rsidRDefault="005737CC" w:rsidP="005737CC">
            <w:pPr>
              <w:pStyle w:val="Texto"/>
              <w:spacing w:after="0" w:line="240" w:lineRule="exact"/>
              <w:ind w:firstLine="0"/>
              <w:jc w:val="right"/>
              <w:rPr>
                <w:b/>
                <w:szCs w:val="18"/>
                <w:lang w:val="es-MX"/>
              </w:rPr>
            </w:pPr>
            <w:r w:rsidRPr="002E38A5">
              <w:rPr>
                <w:b/>
                <w:szCs w:val="18"/>
                <w:lang w:val="es-MX"/>
              </w:rPr>
              <w:fldChar w:fldCharType="begin"/>
            </w:r>
            <w:r w:rsidRPr="002E38A5">
              <w:rPr>
                <w:b/>
                <w:szCs w:val="18"/>
                <w:lang w:val="es-MX"/>
              </w:rPr>
              <w:instrText xml:space="preserve"> =SUM(C2:C6) </w:instrText>
            </w:r>
            <w:r w:rsidRPr="002E38A5">
              <w:rPr>
                <w:b/>
                <w:szCs w:val="18"/>
                <w:lang w:val="es-MX"/>
              </w:rPr>
              <w:fldChar w:fldCharType="separate"/>
            </w:r>
            <w:r w:rsidRPr="002E38A5">
              <w:rPr>
                <w:b/>
                <w:noProof/>
                <w:szCs w:val="18"/>
                <w:lang w:val="es-MX"/>
              </w:rPr>
              <w:t>579,664,035.43</w:t>
            </w:r>
            <w:r w:rsidRPr="002E38A5">
              <w:rPr>
                <w:b/>
                <w:szCs w:val="18"/>
                <w:lang w:val="es-MX"/>
              </w:rPr>
              <w:fldChar w:fldCharType="end"/>
            </w:r>
          </w:p>
        </w:tc>
      </w:tr>
    </w:tbl>
    <w:p w14:paraId="79859485" w14:textId="77777777" w:rsidR="00082C0D" w:rsidRDefault="00082C0D" w:rsidP="00082C0D">
      <w:pPr>
        <w:pStyle w:val="ROMANOS"/>
        <w:tabs>
          <w:tab w:val="clear" w:pos="720"/>
          <w:tab w:val="left" w:pos="288"/>
        </w:tabs>
        <w:spacing w:after="0" w:line="240" w:lineRule="exact"/>
        <w:ind w:left="0" w:firstLine="0"/>
        <w:rPr>
          <w:lang w:val="es-MX"/>
        </w:rPr>
      </w:pPr>
    </w:p>
    <w:p w14:paraId="0CA52F32" w14:textId="77777777" w:rsidR="00565193" w:rsidRDefault="00565193" w:rsidP="00AC7F8A">
      <w:pPr>
        <w:pStyle w:val="ROMANOS"/>
        <w:tabs>
          <w:tab w:val="clear" w:pos="720"/>
          <w:tab w:val="left" w:pos="288"/>
        </w:tabs>
        <w:spacing w:after="0" w:line="240" w:lineRule="exact"/>
        <w:ind w:left="284" w:firstLine="4"/>
        <w:rPr>
          <w:lang w:val="es-MX"/>
        </w:rPr>
      </w:pPr>
    </w:p>
    <w:p w14:paraId="206F116B" w14:textId="2EDBED30" w:rsidR="00672F24" w:rsidRDefault="00672F24" w:rsidP="00AC7F8A">
      <w:pPr>
        <w:pStyle w:val="ROMANOS"/>
        <w:tabs>
          <w:tab w:val="clear" w:pos="720"/>
          <w:tab w:val="left" w:pos="288"/>
        </w:tabs>
        <w:spacing w:after="0" w:line="240" w:lineRule="exact"/>
        <w:ind w:left="284" w:firstLine="4"/>
        <w:rPr>
          <w:lang w:val="es-MX"/>
        </w:rPr>
      </w:pPr>
      <w:r>
        <w:rPr>
          <w:lang w:val="es-MX"/>
        </w:rPr>
        <w:t>Durante el presente</w:t>
      </w:r>
      <w:r w:rsidR="0004354B">
        <w:rPr>
          <w:lang w:val="es-MX"/>
        </w:rPr>
        <w:t xml:space="preserve"> ejercicio, </w:t>
      </w:r>
      <w:r w:rsidR="0004354B" w:rsidRPr="009A5967">
        <w:rPr>
          <w:lang w:val="es-MX"/>
        </w:rPr>
        <w:t xml:space="preserve">la </w:t>
      </w:r>
      <w:r w:rsidR="0004354B" w:rsidRPr="009A5967">
        <w:t>Secretaría de Salud y O.P.D. Salud de Tlaxcala</w:t>
      </w:r>
      <w:r w:rsidR="00082C0D">
        <w:t>,</w:t>
      </w:r>
      <w:r w:rsidR="00591D51">
        <w:t xml:space="preserve"> contin</w:t>
      </w:r>
      <w:r w:rsidR="002E38A5">
        <w:t>ú</w:t>
      </w:r>
      <w:r w:rsidR="00591D51">
        <w:t xml:space="preserve">a </w:t>
      </w:r>
      <w:r w:rsidR="00507531">
        <w:t>con la construcción de la sustitución por obra nueva del Hospital General de Tlaxcala y</w:t>
      </w:r>
      <w:r w:rsidR="0004354B">
        <w:rPr>
          <w:lang w:val="es-MX"/>
        </w:rPr>
        <w:t xml:space="preserve"> </w:t>
      </w:r>
      <w:r w:rsidR="002E38A5">
        <w:rPr>
          <w:lang w:val="es-MX"/>
        </w:rPr>
        <w:t>se realizaron</w:t>
      </w:r>
      <w:r>
        <w:rPr>
          <w:lang w:val="es-MX"/>
        </w:rPr>
        <w:t xml:space="preserve"> las siguientes adquisiciones de activo</w:t>
      </w:r>
      <w:r w:rsidR="005B3F10">
        <w:rPr>
          <w:lang w:val="es-MX"/>
        </w:rPr>
        <w:t>:</w:t>
      </w:r>
    </w:p>
    <w:p w14:paraId="5E508BB6" w14:textId="77777777" w:rsidR="00672F24" w:rsidRDefault="00672F24" w:rsidP="00AC7F8A">
      <w:pPr>
        <w:pStyle w:val="ROMANOS"/>
        <w:tabs>
          <w:tab w:val="clear" w:pos="720"/>
          <w:tab w:val="left" w:pos="288"/>
        </w:tabs>
        <w:spacing w:after="0" w:line="240" w:lineRule="exact"/>
        <w:ind w:left="284" w:firstLine="4"/>
        <w:rPr>
          <w:lang w:val="es-MX"/>
        </w:rPr>
      </w:pPr>
    </w:p>
    <w:tbl>
      <w:tblPr>
        <w:tblW w:w="6160" w:type="dxa"/>
        <w:jc w:val="center"/>
        <w:tblCellMar>
          <w:left w:w="70" w:type="dxa"/>
          <w:right w:w="70" w:type="dxa"/>
        </w:tblCellMar>
        <w:tblLook w:val="04A0" w:firstRow="1" w:lastRow="0" w:firstColumn="1" w:lastColumn="0" w:noHBand="0" w:noVBand="1"/>
      </w:tblPr>
      <w:tblGrid>
        <w:gridCol w:w="4768"/>
        <w:gridCol w:w="1392"/>
      </w:tblGrid>
      <w:tr w:rsidR="001C21BB" w:rsidRPr="005B3F10" w14:paraId="54F96B0E" w14:textId="77777777" w:rsidTr="00776A5E">
        <w:trPr>
          <w:trHeight w:val="175"/>
          <w:jc w:val="center"/>
        </w:trPr>
        <w:tc>
          <w:tcPr>
            <w:tcW w:w="4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A7562" w14:textId="0FB67172" w:rsidR="001C21BB" w:rsidRPr="005B3F10" w:rsidRDefault="001C21BB" w:rsidP="007E57C4">
            <w:pPr>
              <w:spacing w:after="0" w:line="240" w:lineRule="auto"/>
              <w:rPr>
                <w:rFonts w:ascii="Arial" w:eastAsia="Times New Roman" w:hAnsi="Arial" w:cs="Arial"/>
                <w:color w:val="000000"/>
                <w:sz w:val="18"/>
                <w:szCs w:val="18"/>
                <w:lang w:eastAsia="es-MX"/>
              </w:rPr>
            </w:pPr>
            <w:r w:rsidRPr="005B3F10">
              <w:rPr>
                <w:rFonts w:ascii="Arial" w:eastAsia="Times New Roman" w:hAnsi="Arial" w:cs="Arial"/>
                <w:color w:val="000000"/>
                <w:sz w:val="18"/>
                <w:szCs w:val="18"/>
                <w:lang w:eastAsia="es-MX"/>
              </w:rPr>
              <w:t>Descripción</w:t>
            </w:r>
          </w:p>
        </w:tc>
        <w:tc>
          <w:tcPr>
            <w:tcW w:w="1392" w:type="dxa"/>
            <w:tcBorders>
              <w:top w:val="single" w:sz="4" w:space="0" w:color="000000"/>
              <w:left w:val="nil"/>
              <w:bottom w:val="single" w:sz="4" w:space="0" w:color="auto"/>
              <w:right w:val="single" w:sz="4" w:space="0" w:color="000000"/>
            </w:tcBorders>
            <w:shd w:val="clear" w:color="auto" w:fill="auto"/>
            <w:vAlign w:val="bottom"/>
          </w:tcPr>
          <w:p w14:paraId="4EA61827" w14:textId="28D9B3D7" w:rsidR="001C21BB" w:rsidRPr="005B3F10" w:rsidRDefault="001C21BB" w:rsidP="00C71B08">
            <w:pPr>
              <w:spacing w:after="0" w:line="240" w:lineRule="auto"/>
              <w:jc w:val="center"/>
              <w:rPr>
                <w:rFonts w:ascii="Arial" w:eastAsia="Times New Roman" w:hAnsi="Arial" w:cs="Arial"/>
                <w:color w:val="000000"/>
                <w:sz w:val="18"/>
                <w:szCs w:val="18"/>
                <w:lang w:eastAsia="es-MX"/>
              </w:rPr>
            </w:pPr>
            <w:r w:rsidRPr="005B3F10">
              <w:rPr>
                <w:rFonts w:ascii="Arial" w:eastAsia="Times New Roman" w:hAnsi="Arial" w:cs="Arial"/>
                <w:color w:val="000000"/>
                <w:sz w:val="18"/>
                <w:szCs w:val="18"/>
                <w:lang w:eastAsia="es-MX"/>
              </w:rPr>
              <w:t>Importe</w:t>
            </w:r>
          </w:p>
        </w:tc>
      </w:tr>
      <w:tr w:rsidR="00565193" w:rsidRPr="005B3F10" w14:paraId="2556A397" w14:textId="77777777" w:rsidTr="00776A5E">
        <w:trPr>
          <w:trHeight w:val="175"/>
          <w:jc w:val="center"/>
        </w:trPr>
        <w:tc>
          <w:tcPr>
            <w:tcW w:w="4768" w:type="dxa"/>
            <w:tcBorders>
              <w:top w:val="single" w:sz="4" w:space="0" w:color="000000"/>
              <w:left w:val="single" w:sz="4" w:space="0" w:color="000000"/>
              <w:bottom w:val="single" w:sz="4" w:space="0" w:color="000000"/>
              <w:right w:val="single" w:sz="4" w:space="0" w:color="auto"/>
            </w:tcBorders>
            <w:shd w:val="clear" w:color="auto" w:fill="auto"/>
            <w:vAlign w:val="bottom"/>
          </w:tcPr>
          <w:p w14:paraId="7FB0408D" w14:textId="2799F6BD" w:rsidR="00565193" w:rsidRPr="005B3F10" w:rsidRDefault="00565193" w:rsidP="00565193">
            <w:pPr>
              <w:spacing w:after="0" w:line="240" w:lineRule="auto"/>
              <w:rPr>
                <w:rFonts w:ascii="Arial" w:eastAsia="Times New Roman" w:hAnsi="Arial" w:cs="Arial"/>
                <w:color w:val="000000"/>
                <w:sz w:val="18"/>
                <w:szCs w:val="18"/>
                <w:lang w:eastAsia="es-MX"/>
              </w:rPr>
            </w:pPr>
            <w:r w:rsidRPr="005B3F10">
              <w:rPr>
                <w:rFonts w:ascii="Arial" w:eastAsia="Times New Roman" w:hAnsi="Arial" w:cs="Arial"/>
                <w:color w:val="000000"/>
                <w:sz w:val="18"/>
                <w:szCs w:val="18"/>
                <w:lang w:eastAsia="es-MX"/>
              </w:rPr>
              <w:t>Construcciones en Proceso en Bienes Propios, (</w:t>
            </w:r>
            <w:r w:rsidRPr="005B3F10">
              <w:rPr>
                <w:rFonts w:ascii="Arial" w:hAnsi="Arial" w:cs="Arial"/>
                <w:sz w:val="18"/>
                <w:szCs w:val="18"/>
              </w:rPr>
              <w:t>FPGC Sustitución de Obra al Hospital General de Tlaxcala.)</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27A94F5E" w14:textId="38FF8FBB" w:rsidR="00565193" w:rsidRPr="005B3F10" w:rsidRDefault="005737CC" w:rsidP="00565193">
            <w:pPr>
              <w:spacing w:after="0" w:line="240" w:lineRule="auto"/>
              <w:jc w:val="right"/>
              <w:rPr>
                <w:rFonts w:ascii="Arial" w:eastAsia="Times New Roman" w:hAnsi="Arial" w:cs="Arial"/>
                <w:noProof/>
                <w:color w:val="000000"/>
                <w:sz w:val="18"/>
                <w:szCs w:val="18"/>
                <w:lang w:eastAsia="es-MX"/>
              </w:rPr>
            </w:pPr>
            <w:r w:rsidRPr="005737CC">
              <w:rPr>
                <w:rFonts w:ascii="Arial" w:eastAsia="Times New Roman" w:hAnsi="Arial" w:cs="Arial"/>
                <w:noProof/>
                <w:color w:val="000000"/>
                <w:sz w:val="18"/>
                <w:szCs w:val="18"/>
                <w:lang w:eastAsia="es-MX"/>
              </w:rPr>
              <w:t>118</w:t>
            </w:r>
            <w:r>
              <w:rPr>
                <w:rFonts w:ascii="Arial" w:eastAsia="Times New Roman" w:hAnsi="Arial" w:cs="Arial"/>
                <w:noProof/>
                <w:color w:val="000000"/>
                <w:sz w:val="18"/>
                <w:szCs w:val="18"/>
                <w:lang w:eastAsia="es-MX"/>
              </w:rPr>
              <w:t>,</w:t>
            </w:r>
            <w:r w:rsidRPr="005737CC">
              <w:rPr>
                <w:rFonts w:ascii="Arial" w:eastAsia="Times New Roman" w:hAnsi="Arial" w:cs="Arial"/>
                <w:noProof/>
                <w:color w:val="000000"/>
                <w:sz w:val="18"/>
                <w:szCs w:val="18"/>
                <w:lang w:eastAsia="es-MX"/>
              </w:rPr>
              <w:t>673</w:t>
            </w:r>
            <w:r>
              <w:rPr>
                <w:rFonts w:ascii="Arial" w:eastAsia="Times New Roman" w:hAnsi="Arial" w:cs="Arial"/>
                <w:noProof/>
                <w:color w:val="000000"/>
                <w:sz w:val="18"/>
                <w:szCs w:val="18"/>
                <w:lang w:eastAsia="es-MX"/>
              </w:rPr>
              <w:t>,</w:t>
            </w:r>
            <w:r w:rsidRPr="005737CC">
              <w:rPr>
                <w:rFonts w:ascii="Arial" w:eastAsia="Times New Roman" w:hAnsi="Arial" w:cs="Arial"/>
                <w:noProof/>
                <w:color w:val="000000"/>
                <w:sz w:val="18"/>
                <w:szCs w:val="18"/>
                <w:lang w:eastAsia="es-MX"/>
              </w:rPr>
              <w:t>799.53</w:t>
            </w:r>
          </w:p>
        </w:tc>
      </w:tr>
      <w:tr w:rsidR="00776A5E" w:rsidRPr="005B3F10" w14:paraId="13BFC637" w14:textId="77777777" w:rsidTr="00776A5E">
        <w:trPr>
          <w:trHeight w:val="285"/>
          <w:jc w:val="center"/>
        </w:trPr>
        <w:tc>
          <w:tcPr>
            <w:tcW w:w="476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35553DA9" w14:textId="2E663C6D" w:rsidR="00776A5E" w:rsidRPr="005B3F10" w:rsidRDefault="00776A5E" w:rsidP="00776A5E">
            <w:pPr>
              <w:spacing w:after="0" w:line="240" w:lineRule="auto"/>
              <w:rPr>
                <w:rFonts w:ascii="Arial" w:eastAsia="Times New Roman" w:hAnsi="Arial" w:cs="Arial"/>
                <w:color w:val="000000"/>
                <w:sz w:val="18"/>
                <w:szCs w:val="18"/>
                <w:lang w:eastAsia="es-MX"/>
              </w:rPr>
            </w:pPr>
            <w:r w:rsidRPr="005B3F10">
              <w:rPr>
                <w:rFonts w:ascii="Arial" w:eastAsia="Times New Roman" w:hAnsi="Arial" w:cs="Arial"/>
                <w:color w:val="000000"/>
                <w:sz w:val="18"/>
                <w:szCs w:val="18"/>
                <w:lang w:eastAsia="es-MX"/>
              </w:rPr>
              <w:t>Mobiliario y equipo de administración</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4ED49" w14:textId="0D520120" w:rsidR="00776A5E" w:rsidRPr="005B3F10" w:rsidRDefault="00776A5E" w:rsidP="00776A5E">
            <w:pPr>
              <w:spacing w:after="0" w:line="240" w:lineRule="auto"/>
              <w:jc w:val="right"/>
              <w:rPr>
                <w:rFonts w:ascii="Arial" w:eastAsia="Times New Roman" w:hAnsi="Arial" w:cs="Arial"/>
                <w:noProof/>
                <w:color w:val="000000"/>
                <w:sz w:val="18"/>
                <w:szCs w:val="18"/>
                <w:lang w:eastAsia="es-MX"/>
              </w:rPr>
            </w:pPr>
            <w:r w:rsidRPr="00776A5E">
              <w:rPr>
                <w:rFonts w:ascii="Arial" w:eastAsia="Times New Roman" w:hAnsi="Arial" w:cs="Arial"/>
                <w:noProof/>
                <w:color w:val="000000"/>
                <w:sz w:val="18"/>
                <w:szCs w:val="18"/>
                <w:lang w:eastAsia="es-MX"/>
              </w:rPr>
              <w:t>2,865,016.89</w:t>
            </w:r>
          </w:p>
        </w:tc>
      </w:tr>
      <w:tr w:rsidR="00776A5E" w:rsidRPr="005B3F10" w14:paraId="11A6F3BC" w14:textId="77777777" w:rsidTr="00776A5E">
        <w:trPr>
          <w:trHeight w:val="285"/>
          <w:jc w:val="center"/>
        </w:trPr>
        <w:tc>
          <w:tcPr>
            <w:tcW w:w="4768" w:type="dxa"/>
            <w:tcBorders>
              <w:top w:val="single" w:sz="4" w:space="0" w:color="000000"/>
              <w:left w:val="single" w:sz="4" w:space="0" w:color="000000"/>
              <w:bottom w:val="single" w:sz="4" w:space="0" w:color="000000"/>
              <w:right w:val="single" w:sz="4" w:space="0" w:color="auto"/>
            </w:tcBorders>
            <w:shd w:val="clear" w:color="auto" w:fill="auto"/>
            <w:vAlign w:val="bottom"/>
          </w:tcPr>
          <w:p w14:paraId="7BC9B67D" w14:textId="2E32BAA3" w:rsidR="00776A5E" w:rsidRPr="005B3F10" w:rsidRDefault="00776A5E" w:rsidP="00776A5E">
            <w:pPr>
              <w:spacing w:after="0" w:line="240" w:lineRule="auto"/>
              <w:rPr>
                <w:rFonts w:ascii="Arial" w:eastAsia="Times New Roman" w:hAnsi="Arial" w:cs="Arial"/>
                <w:color w:val="000000"/>
                <w:sz w:val="18"/>
                <w:szCs w:val="18"/>
                <w:lang w:eastAsia="es-MX"/>
              </w:rPr>
            </w:pPr>
            <w:r w:rsidRPr="00776A5E">
              <w:rPr>
                <w:rFonts w:ascii="Arial" w:eastAsia="Times New Roman" w:hAnsi="Arial" w:cs="Arial"/>
                <w:color w:val="000000"/>
                <w:sz w:val="18"/>
                <w:szCs w:val="18"/>
                <w:lang w:eastAsia="es-MX"/>
              </w:rPr>
              <w:t>Mobiliario y Equipo Educacional y Recreativo</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046AD62B" w14:textId="1E01E565" w:rsidR="00776A5E" w:rsidRDefault="00776A5E" w:rsidP="00776A5E">
            <w:pPr>
              <w:spacing w:after="0" w:line="240" w:lineRule="auto"/>
              <w:jc w:val="right"/>
              <w:rPr>
                <w:rFonts w:ascii="Arial" w:eastAsia="Times New Roman" w:hAnsi="Arial" w:cs="Arial"/>
                <w:noProof/>
                <w:color w:val="000000"/>
                <w:sz w:val="18"/>
                <w:szCs w:val="18"/>
                <w:lang w:eastAsia="es-MX"/>
              </w:rPr>
            </w:pPr>
            <w:r w:rsidRPr="00776A5E">
              <w:rPr>
                <w:rFonts w:ascii="Arial" w:eastAsia="Times New Roman" w:hAnsi="Arial" w:cs="Arial"/>
                <w:noProof/>
                <w:color w:val="000000"/>
                <w:sz w:val="18"/>
                <w:szCs w:val="18"/>
                <w:lang w:eastAsia="es-MX"/>
              </w:rPr>
              <w:t>986,997.70</w:t>
            </w:r>
          </w:p>
        </w:tc>
      </w:tr>
      <w:tr w:rsidR="00776A5E" w:rsidRPr="005B3F10" w14:paraId="1A37BD35" w14:textId="77777777" w:rsidTr="00776A5E">
        <w:trPr>
          <w:trHeight w:val="285"/>
          <w:jc w:val="center"/>
        </w:trPr>
        <w:tc>
          <w:tcPr>
            <w:tcW w:w="4768" w:type="dxa"/>
            <w:tcBorders>
              <w:top w:val="single" w:sz="4" w:space="0" w:color="000000"/>
              <w:left w:val="single" w:sz="4" w:space="0" w:color="000000"/>
              <w:bottom w:val="single" w:sz="4" w:space="0" w:color="000000"/>
              <w:right w:val="single" w:sz="4" w:space="0" w:color="auto"/>
            </w:tcBorders>
            <w:shd w:val="clear" w:color="auto" w:fill="auto"/>
            <w:vAlign w:val="bottom"/>
          </w:tcPr>
          <w:p w14:paraId="50FDA25B" w14:textId="3733B090" w:rsidR="00776A5E" w:rsidRPr="005B3F10" w:rsidRDefault="00776A5E" w:rsidP="00776A5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médico y de laboratorio</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2D4A65FF" w14:textId="684AD9BA" w:rsidR="00776A5E" w:rsidRPr="005B3F10" w:rsidRDefault="00776A5E" w:rsidP="00776A5E">
            <w:pPr>
              <w:spacing w:after="0" w:line="240" w:lineRule="auto"/>
              <w:jc w:val="right"/>
              <w:rPr>
                <w:rFonts w:ascii="Arial" w:eastAsia="Times New Roman" w:hAnsi="Arial" w:cs="Arial"/>
                <w:noProof/>
                <w:color w:val="000000"/>
                <w:sz w:val="18"/>
                <w:szCs w:val="18"/>
                <w:lang w:eastAsia="es-MX"/>
              </w:rPr>
            </w:pPr>
            <w:r w:rsidRPr="00776A5E">
              <w:rPr>
                <w:rFonts w:ascii="Arial" w:eastAsia="Times New Roman" w:hAnsi="Arial" w:cs="Arial"/>
                <w:noProof/>
                <w:color w:val="000000"/>
                <w:sz w:val="18"/>
                <w:szCs w:val="18"/>
                <w:lang w:eastAsia="es-MX"/>
              </w:rPr>
              <w:t>31,092,828.73</w:t>
            </w:r>
          </w:p>
        </w:tc>
      </w:tr>
      <w:tr w:rsidR="00776A5E" w:rsidRPr="005B3F10" w14:paraId="64A628BA" w14:textId="77777777" w:rsidTr="00776A5E">
        <w:trPr>
          <w:trHeight w:val="285"/>
          <w:jc w:val="center"/>
        </w:trPr>
        <w:tc>
          <w:tcPr>
            <w:tcW w:w="4768" w:type="dxa"/>
            <w:tcBorders>
              <w:top w:val="single" w:sz="4" w:space="0" w:color="000000"/>
              <w:left w:val="single" w:sz="4" w:space="0" w:color="000000"/>
              <w:bottom w:val="single" w:sz="4" w:space="0" w:color="000000"/>
              <w:right w:val="single" w:sz="4" w:space="0" w:color="auto"/>
            </w:tcBorders>
            <w:shd w:val="clear" w:color="auto" w:fill="auto"/>
            <w:vAlign w:val="bottom"/>
          </w:tcPr>
          <w:p w14:paraId="7EF18473" w14:textId="4C5C651F" w:rsidR="00776A5E" w:rsidRDefault="00776A5E" w:rsidP="00776A5E">
            <w:pPr>
              <w:spacing w:after="0" w:line="240" w:lineRule="auto"/>
              <w:rPr>
                <w:rFonts w:ascii="Arial" w:eastAsia="Times New Roman" w:hAnsi="Arial" w:cs="Arial"/>
                <w:color w:val="000000"/>
                <w:sz w:val="18"/>
                <w:szCs w:val="18"/>
                <w:lang w:eastAsia="es-MX"/>
              </w:rPr>
            </w:pPr>
            <w:r w:rsidRPr="00776A5E">
              <w:rPr>
                <w:rFonts w:ascii="Arial" w:eastAsia="Times New Roman" w:hAnsi="Arial" w:cs="Arial"/>
                <w:color w:val="000000"/>
                <w:sz w:val="18"/>
                <w:szCs w:val="18"/>
                <w:lang w:eastAsia="es-MX"/>
              </w:rPr>
              <w:t>Vehículos y Equipo de Transporte</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12731981" w14:textId="1A8FB141" w:rsidR="00776A5E" w:rsidRDefault="00776A5E" w:rsidP="00776A5E">
            <w:pPr>
              <w:spacing w:after="0" w:line="240" w:lineRule="auto"/>
              <w:jc w:val="right"/>
              <w:rPr>
                <w:rFonts w:ascii="Arial" w:eastAsia="Times New Roman" w:hAnsi="Arial" w:cs="Arial"/>
                <w:noProof/>
                <w:color w:val="000000"/>
                <w:sz w:val="18"/>
                <w:szCs w:val="18"/>
                <w:lang w:eastAsia="es-MX"/>
              </w:rPr>
            </w:pPr>
            <w:r w:rsidRPr="00776A5E">
              <w:rPr>
                <w:rFonts w:ascii="Arial" w:eastAsia="Times New Roman" w:hAnsi="Arial" w:cs="Arial"/>
                <w:noProof/>
                <w:color w:val="000000"/>
                <w:sz w:val="18"/>
                <w:szCs w:val="18"/>
                <w:lang w:eastAsia="es-MX"/>
              </w:rPr>
              <w:t>11,592,702.00</w:t>
            </w:r>
          </w:p>
        </w:tc>
      </w:tr>
      <w:tr w:rsidR="00776A5E" w:rsidRPr="005B3F10" w14:paraId="345E1504" w14:textId="77777777" w:rsidTr="00776A5E">
        <w:trPr>
          <w:trHeight w:val="285"/>
          <w:jc w:val="center"/>
        </w:trPr>
        <w:tc>
          <w:tcPr>
            <w:tcW w:w="4768" w:type="dxa"/>
            <w:tcBorders>
              <w:top w:val="single" w:sz="4" w:space="0" w:color="000000"/>
              <w:left w:val="single" w:sz="4" w:space="0" w:color="000000"/>
              <w:bottom w:val="single" w:sz="4" w:space="0" w:color="000000"/>
              <w:right w:val="single" w:sz="4" w:space="0" w:color="auto"/>
            </w:tcBorders>
            <w:shd w:val="clear" w:color="auto" w:fill="auto"/>
            <w:vAlign w:val="bottom"/>
          </w:tcPr>
          <w:p w14:paraId="1486EA73" w14:textId="71C05AAF" w:rsidR="00776A5E" w:rsidRPr="005B3F10" w:rsidRDefault="00776A5E" w:rsidP="00776A5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Maquinaria, otros equipos y herramientas</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16DCEC33" w14:textId="47EC3979" w:rsidR="00776A5E" w:rsidRPr="005B3F10" w:rsidRDefault="00776A5E" w:rsidP="00776A5E">
            <w:pPr>
              <w:spacing w:after="0" w:line="240" w:lineRule="auto"/>
              <w:jc w:val="right"/>
              <w:rPr>
                <w:rFonts w:ascii="Arial" w:eastAsia="Times New Roman" w:hAnsi="Arial" w:cs="Arial"/>
                <w:noProof/>
                <w:color w:val="000000"/>
                <w:sz w:val="18"/>
                <w:szCs w:val="18"/>
                <w:lang w:eastAsia="es-MX"/>
              </w:rPr>
            </w:pPr>
            <w:r w:rsidRPr="00776A5E">
              <w:rPr>
                <w:rFonts w:ascii="Arial" w:eastAsia="Times New Roman" w:hAnsi="Arial" w:cs="Arial"/>
                <w:noProof/>
                <w:color w:val="000000"/>
                <w:sz w:val="18"/>
                <w:szCs w:val="18"/>
                <w:lang w:eastAsia="es-MX"/>
              </w:rPr>
              <w:t>3,885,643.76</w:t>
            </w:r>
          </w:p>
        </w:tc>
      </w:tr>
      <w:tr w:rsidR="00565193" w:rsidRPr="002E38A5" w14:paraId="61FA41E6" w14:textId="77777777" w:rsidTr="00776A5E">
        <w:trPr>
          <w:trHeight w:val="285"/>
          <w:jc w:val="center"/>
        </w:trPr>
        <w:tc>
          <w:tcPr>
            <w:tcW w:w="4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24E695" w14:textId="300BA785" w:rsidR="00565193" w:rsidRPr="002E38A5" w:rsidRDefault="00565193" w:rsidP="00565193">
            <w:pPr>
              <w:spacing w:after="0" w:line="240" w:lineRule="auto"/>
              <w:rPr>
                <w:rFonts w:ascii="Arial" w:eastAsia="Times New Roman" w:hAnsi="Arial" w:cs="Arial"/>
                <w:b/>
                <w:color w:val="000000"/>
                <w:sz w:val="18"/>
                <w:szCs w:val="18"/>
                <w:lang w:eastAsia="es-MX"/>
              </w:rPr>
            </w:pPr>
            <w:r w:rsidRPr="002E38A5">
              <w:rPr>
                <w:rFonts w:ascii="Arial" w:eastAsia="Times New Roman" w:hAnsi="Arial" w:cs="Arial"/>
                <w:b/>
                <w:color w:val="000000"/>
                <w:sz w:val="18"/>
                <w:szCs w:val="18"/>
                <w:lang w:eastAsia="es-MX"/>
              </w:rPr>
              <w:t>Suma</w:t>
            </w:r>
          </w:p>
        </w:tc>
        <w:tc>
          <w:tcPr>
            <w:tcW w:w="1392" w:type="dxa"/>
            <w:tcBorders>
              <w:top w:val="single" w:sz="4" w:space="0" w:color="auto"/>
              <w:left w:val="nil"/>
              <w:bottom w:val="single" w:sz="4" w:space="0" w:color="000000"/>
              <w:right w:val="single" w:sz="4" w:space="0" w:color="000000"/>
            </w:tcBorders>
            <w:shd w:val="clear" w:color="auto" w:fill="auto"/>
            <w:vAlign w:val="bottom"/>
          </w:tcPr>
          <w:p w14:paraId="24AED3A6" w14:textId="6A8D308C" w:rsidR="00565193" w:rsidRPr="002E38A5" w:rsidRDefault="00776A5E" w:rsidP="00565193">
            <w:pPr>
              <w:spacing w:after="0" w:line="240" w:lineRule="auto"/>
              <w:jc w:val="right"/>
              <w:rPr>
                <w:rFonts w:ascii="Arial" w:eastAsia="Times New Roman" w:hAnsi="Arial" w:cs="Arial"/>
                <w:b/>
                <w:color w:val="000000"/>
                <w:sz w:val="18"/>
                <w:szCs w:val="18"/>
                <w:lang w:eastAsia="es-MX"/>
              </w:rPr>
            </w:pPr>
            <w:r w:rsidRPr="002E38A5">
              <w:rPr>
                <w:rFonts w:ascii="Arial" w:eastAsia="Times New Roman" w:hAnsi="Arial" w:cs="Arial"/>
                <w:b/>
                <w:color w:val="000000"/>
                <w:sz w:val="18"/>
                <w:szCs w:val="18"/>
                <w:lang w:eastAsia="es-MX"/>
              </w:rPr>
              <w:fldChar w:fldCharType="begin"/>
            </w:r>
            <w:r w:rsidRPr="002E38A5">
              <w:rPr>
                <w:rFonts w:ascii="Arial" w:eastAsia="Times New Roman" w:hAnsi="Arial" w:cs="Arial"/>
                <w:b/>
                <w:color w:val="000000"/>
                <w:sz w:val="18"/>
                <w:szCs w:val="18"/>
                <w:lang w:eastAsia="es-MX"/>
              </w:rPr>
              <w:instrText xml:space="preserve"> =SUM(ABOVE) </w:instrText>
            </w:r>
            <w:r w:rsidRPr="002E38A5">
              <w:rPr>
                <w:rFonts w:ascii="Arial" w:eastAsia="Times New Roman" w:hAnsi="Arial" w:cs="Arial"/>
                <w:b/>
                <w:color w:val="000000"/>
                <w:sz w:val="18"/>
                <w:szCs w:val="18"/>
                <w:lang w:eastAsia="es-MX"/>
              </w:rPr>
              <w:fldChar w:fldCharType="separate"/>
            </w:r>
            <w:r w:rsidRPr="002E38A5">
              <w:rPr>
                <w:rFonts w:ascii="Arial" w:eastAsia="Times New Roman" w:hAnsi="Arial" w:cs="Arial"/>
                <w:b/>
                <w:noProof/>
                <w:color w:val="000000"/>
                <w:sz w:val="18"/>
                <w:szCs w:val="18"/>
                <w:lang w:eastAsia="es-MX"/>
              </w:rPr>
              <w:t>169,096,988.61</w:t>
            </w:r>
            <w:r w:rsidRPr="002E38A5">
              <w:rPr>
                <w:rFonts w:ascii="Arial" w:eastAsia="Times New Roman" w:hAnsi="Arial" w:cs="Arial"/>
                <w:b/>
                <w:color w:val="000000"/>
                <w:sz w:val="18"/>
                <w:szCs w:val="18"/>
                <w:lang w:eastAsia="es-MX"/>
              </w:rPr>
              <w:fldChar w:fldCharType="end"/>
            </w:r>
          </w:p>
        </w:tc>
      </w:tr>
    </w:tbl>
    <w:p w14:paraId="530C9BA9" w14:textId="77777777" w:rsidR="00672F24" w:rsidRDefault="00672F24" w:rsidP="00AC7F8A">
      <w:pPr>
        <w:pStyle w:val="ROMANOS"/>
        <w:tabs>
          <w:tab w:val="clear" w:pos="720"/>
          <w:tab w:val="left" w:pos="288"/>
        </w:tabs>
        <w:spacing w:after="0" w:line="240" w:lineRule="exact"/>
        <w:ind w:left="284" w:firstLine="4"/>
        <w:rPr>
          <w:lang w:val="es-MX"/>
        </w:rPr>
      </w:pPr>
    </w:p>
    <w:p w14:paraId="620EF9C4" w14:textId="2180B586" w:rsidR="00AC7F8A" w:rsidRDefault="00AC7F8A" w:rsidP="00AC7F8A">
      <w:pPr>
        <w:pStyle w:val="ROMANOS"/>
        <w:tabs>
          <w:tab w:val="clear" w:pos="720"/>
          <w:tab w:val="left" w:pos="288"/>
        </w:tabs>
        <w:spacing w:after="0" w:line="240" w:lineRule="exact"/>
        <w:ind w:left="284" w:firstLine="4"/>
        <w:rPr>
          <w:lang w:val="es-MX"/>
        </w:rPr>
      </w:pPr>
    </w:p>
    <w:p w14:paraId="7E1E9B99" w14:textId="77777777" w:rsidR="00C71B08" w:rsidRDefault="00C71B08" w:rsidP="00AC7F8A">
      <w:pPr>
        <w:pStyle w:val="ROMANOS"/>
        <w:tabs>
          <w:tab w:val="clear" w:pos="720"/>
          <w:tab w:val="left" w:pos="288"/>
        </w:tabs>
        <w:spacing w:after="0" w:line="240" w:lineRule="exact"/>
        <w:ind w:left="284" w:firstLine="4"/>
        <w:rPr>
          <w:lang w:val="es-MX"/>
        </w:rPr>
      </w:pPr>
    </w:p>
    <w:p w14:paraId="620EF9C5" w14:textId="77777777" w:rsidR="00AC7F8A" w:rsidRDefault="00AC7F8A" w:rsidP="00AC7F8A">
      <w:pPr>
        <w:pStyle w:val="ROMANOS"/>
        <w:tabs>
          <w:tab w:val="clear" w:pos="720"/>
          <w:tab w:val="left" w:pos="288"/>
        </w:tabs>
        <w:spacing w:after="0" w:line="240" w:lineRule="exact"/>
        <w:ind w:left="284" w:firstLine="4"/>
        <w:rPr>
          <w:lang w:val="es-MX"/>
        </w:rPr>
      </w:pPr>
    </w:p>
    <w:p w14:paraId="620EF9CF" w14:textId="77777777" w:rsidR="00AC7F8A" w:rsidRPr="00630DB0" w:rsidRDefault="00AC7F8A" w:rsidP="00082C0D">
      <w:pPr>
        <w:pStyle w:val="Texto"/>
        <w:spacing w:after="0" w:line="240" w:lineRule="exact"/>
        <w:ind w:firstLine="0"/>
        <w:rPr>
          <w:szCs w:val="18"/>
          <w:lang w:val="es-MX"/>
        </w:rPr>
      </w:pPr>
    </w:p>
    <w:p w14:paraId="620EF9D0" w14:textId="77777777" w:rsidR="00AC7F8A" w:rsidRPr="002715B0" w:rsidRDefault="00AC7F8A" w:rsidP="00AC7F8A">
      <w:pPr>
        <w:pStyle w:val="INCISO"/>
        <w:spacing w:after="0" w:line="240" w:lineRule="exact"/>
        <w:ind w:left="360"/>
        <w:rPr>
          <w:b/>
          <w:smallCaps/>
        </w:rPr>
      </w:pPr>
      <w:r w:rsidRPr="00630DB0">
        <w:rPr>
          <w:b/>
          <w:smallCaps/>
        </w:rPr>
        <w:t>V) Conciliación entre los ingresos presupuestarios y contables, así como entre los egresos presupuestarios y los gastos contables</w:t>
      </w:r>
    </w:p>
    <w:p w14:paraId="620EF9D1" w14:textId="2EB7C2FB" w:rsidR="00AC7F8A" w:rsidRPr="00630DB0" w:rsidRDefault="00AC7F8A" w:rsidP="00AC7F8A">
      <w:pPr>
        <w:pStyle w:val="Texto"/>
        <w:spacing w:after="0" w:line="240" w:lineRule="exact"/>
        <w:jc w:val="center"/>
        <w:rPr>
          <w:b/>
          <w:smallCaps/>
          <w:szCs w:val="18"/>
          <w:lang w:val="es-MX"/>
        </w:rPr>
      </w:pPr>
      <w:r>
        <w:rPr>
          <w:b/>
          <w:smallCaps/>
          <w:szCs w:val="18"/>
          <w:lang w:val="es-MX"/>
        </w:rPr>
        <w:t xml:space="preserve"> </w:t>
      </w:r>
    </w:p>
    <w:p w14:paraId="620EF9D2" w14:textId="5ABFD0CD" w:rsidR="00AC7F8A" w:rsidRDefault="00E831C3" w:rsidP="00AC7F8A">
      <w:pPr>
        <w:pStyle w:val="Texto"/>
        <w:spacing w:after="0" w:line="240" w:lineRule="exact"/>
        <w:ind w:firstLine="0"/>
        <w:jc w:val="center"/>
        <w:rPr>
          <w:szCs w:val="18"/>
        </w:rPr>
      </w:pPr>
      <w:r>
        <w:rPr>
          <w:noProof/>
          <w:lang w:val="es-MX" w:eastAsia="es-MX"/>
        </w:rPr>
        <w:object w:dxaOrig="21945" w:dyaOrig="16440" w14:anchorId="620EF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5.1pt;margin-top:17.1pt;width:679.9pt;height:366.8pt;z-index:251672576;mso-position-horizontal-relative:text;mso-position-vertical-relative:text">
            <v:imagedata r:id="rId8" o:title=""/>
            <w10:wrap type="topAndBottom"/>
          </v:shape>
          <o:OLEObject Type="Embed" ProgID="Excel.Sheet.12" ShapeID="_x0000_s1072" DrawAspect="Content" ObjectID="_1686735392" r:id="rId9"/>
        </w:object>
      </w:r>
    </w:p>
    <w:p w14:paraId="620EF9D3" w14:textId="77777777" w:rsidR="00AC7F8A" w:rsidRDefault="00AC7F8A" w:rsidP="00AC7F8A">
      <w:pPr>
        <w:pStyle w:val="Texto"/>
        <w:spacing w:after="0" w:line="240" w:lineRule="exact"/>
        <w:ind w:firstLine="0"/>
        <w:jc w:val="center"/>
        <w:rPr>
          <w:szCs w:val="18"/>
        </w:rPr>
      </w:pPr>
    </w:p>
    <w:p w14:paraId="349709BA" w14:textId="77777777" w:rsidR="002E5ED2" w:rsidRDefault="002E5ED2" w:rsidP="00AC7F8A">
      <w:pPr>
        <w:pStyle w:val="Texto"/>
        <w:spacing w:after="0" w:line="240" w:lineRule="exact"/>
        <w:ind w:firstLine="0"/>
        <w:jc w:val="center"/>
        <w:rPr>
          <w:szCs w:val="18"/>
        </w:rPr>
      </w:pPr>
    </w:p>
    <w:p w14:paraId="37531506" w14:textId="77777777" w:rsidR="002E5ED2" w:rsidRDefault="002E5ED2" w:rsidP="00AC7F8A">
      <w:pPr>
        <w:pStyle w:val="Texto"/>
        <w:spacing w:after="0" w:line="240" w:lineRule="exact"/>
        <w:ind w:firstLine="0"/>
        <w:jc w:val="center"/>
        <w:rPr>
          <w:szCs w:val="18"/>
        </w:rPr>
      </w:pPr>
    </w:p>
    <w:p w14:paraId="095A696A" w14:textId="77777777" w:rsidR="002E5ED2" w:rsidRDefault="002E5ED2" w:rsidP="00AC7F8A">
      <w:pPr>
        <w:pStyle w:val="Texto"/>
        <w:spacing w:after="0" w:line="240" w:lineRule="exact"/>
        <w:ind w:firstLine="0"/>
        <w:jc w:val="center"/>
        <w:rPr>
          <w:szCs w:val="18"/>
        </w:rPr>
      </w:pPr>
    </w:p>
    <w:p w14:paraId="6C8AC000" w14:textId="5885CCD5" w:rsidR="002E5ED2" w:rsidRDefault="00E831C3" w:rsidP="00AC7F8A">
      <w:pPr>
        <w:pStyle w:val="Texto"/>
        <w:spacing w:after="0" w:line="240" w:lineRule="exact"/>
        <w:ind w:firstLine="0"/>
        <w:jc w:val="center"/>
        <w:rPr>
          <w:szCs w:val="18"/>
        </w:rPr>
      </w:pPr>
      <w:r>
        <w:rPr>
          <w:noProof/>
          <w:szCs w:val="18"/>
        </w:rPr>
        <w:object w:dxaOrig="21945" w:dyaOrig="16440" w14:anchorId="620EFAA1">
          <v:shape id="_x0000_s1074" type="#_x0000_t75" style="position:absolute;left:0;text-align:left;margin-left:49.5pt;margin-top:15.7pt;width:645.6pt;height:396.75pt;z-index:251675648">
            <v:imagedata r:id="rId10" o:title=""/>
            <w10:wrap type="topAndBottom"/>
          </v:shape>
          <o:OLEObject Type="Embed" ProgID="Excel.Sheet.8" ShapeID="_x0000_s1074" DrawAspect="Content" ObjectID="_1686735393" r:id="rId11"/>
        </w:object>
      </w:r>
    </w:p>
    <w:p w14:paraId="620EF9D4" w14:textId="2F472C93" w:rsidR="00AC7F8A" w:rsidRDefault="00AC7F8A" w:rsidP="00AC7F8A">
      <w:pPr>
        <w:pStyle w:val="Texto"/>
        <w:spacing w:after="0" w:line="240" w:lineRule="exact"/>
        <w:ind w:firstLine="0"/>
        <w:jc w:val="center"/>
        <w:rPr>
          <w:szCs w:val="18"/>
        </w:rPr>
      </w:pPr>
    </w:p>
    <w:p w14:paraId="2F219D6C" w14:textId="77777777" w:rsidR="00B32D71" w:rsidRDefault="00B32D71" w:rsidP="0062599C">
      <w:pPr>
        <w:pStyle w:val="Texto"/>
        <w:spacing w:after="0" w:line="240" w:lineRule="exact"/>
        <w:ind w:firstLine="0"/>
        <w:rPr>
          <w:szCs w:val="18"/>
        </w:rPr>
      </w:pPr>
    </w:p>
    <w:p w14:paraId="620EF9D7" w14:textId="77777777" w:rsidR="00AC7F8A" w:rsidRPr="00630DB0" w:rsidRDefault="00AC7F8A" w:rsidP="00AC7F8A">
      <w:pPr>
        <w:pStyle w:val="Texto"/>
        <w:spacing w:after="0" w:line="240" w:lineRule="exact"/>
        <w:ind w:firstLine="0"/>
        <w:jc w:val="center"/>
        <w:rPr>
          <w:b/>
          <w:szCs w:val="18"/>
          <w:lang w:val="es-MX"/>
        </w:rPr>
      </w:pPr>
      <w:r w:rsidRPr="00630DB0">
        <w:rPr>
          <w:szCs w:val="18"/>
        </w:rPr>
        <w:lastRenderedPageBreak/>
        <w:t xml:space="preserve"> </w:t>
      </w:r>
      <w:r w:rsidRPr="00630DB0">
        <w:rPr>
          <w:b/>
          <w:szCs w:val="18"/>
        </w:rPr>
        <w:t>b)</w:t>
      </w:r>
      <w:r w:rsidRPr="00630DB0">
        <w:rPr>
          <w:szCs w:val="18"/>
        </w:rPr>
        <w:t xml:space="preserve"> </w:t>
      </w:r>
      <w:r w:rsidRPr="00630DB0">
        <w:rPr>
          <w:b/>
          <w:szCs w:val="18"/>
          <w:lang w:val="es-MX"/>
        </w:rPr>
        <w:t>NOTAS DE MEMORIA (CUENTAS DE ORDEN)</w:t>
      </w:r>
    </w:p>
    <w:p w14:paraId="620EF9D8" w14:textId="77777777" w:rsidR="00AC7F8A" w:rsidRPr="00630DB0" w:rsidRDefault="00AC7F8A" w:rsidP="00AC7F8A">
      <w:pPr>
        <w:pStyle w:val="Texto"/>
        <w:spacing w:after="0" w:line="240" w:lineRule="exact"/>
        <w:ind w:firstLine="0"/>
        <w:rPr>
          <w:b/>
          <w:szCs w:val="18"/>
          <w:lang w:val="es-MX"/>
        </w:rPr>
      </w:pPr>
    </w:p>
    <w:p w14:paraId="620EF9D9" w14:textId="437D1113" w:rsidR="00AC7F8A" w:rsidRDefault="00AC7F8A" w:rsidP="00AC7F8A">
      <w:pPr>
        <w:pStyle w:val="Texto"/>
        <w:spacing w:after="0" w:line="240" w:lineRule="exact"/>
        <w:rPr>
          <w:szCs w:val="18"/>
          <w:lang w:val="es-MX"/>
        </w:rPr>
      </w:pPr>
      <w:r>
        <w:rPr>
          <w:szCs w:val="18"/>
          <w:lang w:val="es-MX"/>
        </w:rPr>
        <w:t xml:space="preserve">Al </w:t>
      </w:r>
      <w:r w:rsidR="0048534C">
        <w:rPr>
          <w:szCs w:val="18"/>
          <w:lang w:val="es-MX"/>
        </w:rPr>
        <w:t>periodo que se informa</w:t>
      </w:r>
      <w:r w:rsidR="0062599C">
        <w:rPr>
          <w:szCs w:val="18"/>
          <w:lang w:val="es-MX"/>
        </w:rPr>
        <w:t>,</w:t>
      </w:r>
      <w:r w:rsidRPr="00733E22">
        <w:rPr>
          <w:szCs w:val="18"/>
          <w:lang w:val="es-MX"/>
        </w:rPr>
        <w:t xml:space="preserve"> </w:t>
      </w:r>
      <w:r>
        <w:rPr>
          <w:szCs w:val="18"/>
          <w:lang w:val="es-MX"/>
        </w:rPr>
        <w:t>se</w:t>
      </w:r>
      <w:r w:rsidRPr="00733E22">
        <w:rPr>
          <w:szCs w:val="18"/>
          <w:lang w:val="es-MX"/>
        </w:rPr>
        <w:t xml:space="preserve"> utiliza</w:t>
      </w:r>
      <w:r w:rsidR="0048534C">
        <w:rPr>
          <w:szCs w:val="18"/>
          <w:lang w:val="es-MX"/>
        </w:rPr>
        <w:t>ro</w:t>
      </w:r>
      <w:r w:rsidRPr="00733E22">
        <w:rPr>
          <w:szCs w:val="18"/>
          <w:lang w:val="es-MX"/>
        </w:rPr>
        <w:t xml:space="preserve">n </w:t>
      </w:r>
      <w:r w:rsidR="0048534C">
        <w:rPr>
          <w:szCs w:val="18"/>
          <w:lang w:val="es-MX"/>
        </w:rPr>
        <w:t xml:space="preserve">las </w:t>
      </w:r>
      <w:r w:rsidRPr="00733E22">
        <w:rPr>
          <w:szCs w:val="18"/>
          <w:lang w:val="es-MX"/>
        </w:rPr>
        <w:t>cuentas de orden</w:t>
      </w:r>
      <w:r>
        <w:rPr>
          <w:szCs w:val="18"/>
          <w:lang w:val="es-MX"/>
        </w:rPr>
        <w:t xml:space="preserve"> contable</w:t>
      </w:r>
      <w:r w:rsidR="00232EA6">
        <w:rPr>
          <w:szCs w:val="18"/>
          <w:lang w:val="es-MX"/>
        </w:rPr>
        <w:t>s</w:t>
      </w:r>
      <w:r w:rsidR="0048534C">
        <w:rPr>
          <w:szCs w:val="18"/>
          <w:lang w:val="es-MX"/>
        </w:rPr>
        <w:t xml:space="preserve"> siguientes para presentar el valor del almacén, el cual </w:t>
      </w:r>
      <w:r w:rsidR="0048534C" w:rsidRPr="00630DB0">
        <w:rPr>
          <w:lang w:val="es-MX"/>
        </w:rPr>
        <w:t>se encuentra valuad</w:t>
      </w:r>
      <w:r w:rsidR="0048534C">
        <w:rPr>
          <w:lang w:val="es-MX"/>
        </w:rPr>
        <w:t>o</w:t>
      </w:r>
      <w:r w:rsidR="0048534C" w:rsidRPr="00630DB0">
        <w:rPr>
          <w:lang w:val="es-MX"/>
        </w:rPr>
        <w:t xml:space="preserve"> </w:t>
      </w:r>
      <w:r w:rsidR="0048534C">
        <w:rPr>
          <w:lang w:val="es-MX"/>
        </w:rPr>
        <w:t>bajo el método de</w:t>
      </w:r>
      <w:r w:rsidR="0048534C" w:rsidRPr="00630DB0">
        <w:rPr>
          <w:lang w:val="es-MX"/>
        </w:rPr>
        <w:t xml:space="preserve"> </w:t>
      </w:r>
      <w:r w:rsidR="0048534C">
        <w:rPr>
          <w:lang w:val="es-MX"/>
        </w:rPr>
        <w:t>primeras entradas-primeras salidas</w:t>
      </w:r>
      <w:r>
        <w:rPr>
          <w:szCs w:val="18"/>
          <w:lang w:val="es-MX"/>
        </w:rPr>
        <w:t>:</w:t>
      </w:r>
    </w:p>
    <w:p w14:paraId="620EF9DA" w14:textId="77777777" w:rsidR="00AC7F8A" w:rsidRDefault="00AC7F8A" w:rsidP="00AC7F8A">
      <w:pPr>
        <w:pStyle w:val="Texto"/>
        <w:spacing w:after="0" w:line="240" w:lineRule="exact"/>
        <w:rPr>
          <w:szCs w:val="18"/>
          <w:lang w:val="es-MX"/>
        </w:rPr>
      </w:pPr>
    </w:p>
    <w:p w14:paraId="620EF9DC" w14:textId="77777777" w:rsidR="00AC7F8A" w:rsidRDefault="00AC7F8A" w:rsidP="00AC7F8A">
      <w:pPr>
        <w:pStyle w:val="Texto"/>
        <w:spacing w:after="0" w:line="240" w:lineRule="exact"/>
        <w:rPr>
          <w:szCs w:val="18"/>
          <w:lang w:val="es-MX"/>
        </w:rPr>
      </w:pPr>
    </w:p>
    <w:tbl>
      <w:tblPr>
        <w:tblStyle w:val="Tablaconcuadrcula"/>
        <w:tblW w:w="8962" w:type="dxa"/>
        <w:jc w:val="center"/>
        <w:tblLook w:val="04A0" w:firstRow="1" w:lastRow="0" w:firstColumn="1" w:lastColumn="0" w:noHBand="0" w:noVBand="1"/>
      </w:tblPr>
      <w:tblGrid>
        <w:gridCol w:w="7261"/>
        <w:gridCol w:w="1701"/>
      </w:tblGrid>
      <w:tr w:rsidR="008E3157" w:rsidRPr="0048534C" w14:paraId="620EF9DF" w14:textId="77777777" w:rsidTr="00546D3F">
        <w:trPr>
          <w:trHeight w:val="285"/>
          <w:jc w:val="center"/>
        </w:trPr>
        <w:tc>
          <w:tcPr>
            <w:tcW w:w="7261" w:type="dxa"/>
            <w:hideMark/>
          </w:tcPr>
          <w:p w14:paraId="620EF9DD" w14:textId="681E4C70" w:rsidR="008E3157" w:rsidRPr="0048534C" w:rsidRDefault="008E3157" w:rsidP="008E3157">
            <w:pPr>
              <w:rPr>
                <w:rFonts w:ascii="Arial" w:eastAsia="Times New Roman" w:hAnsi="Arial" w:cs="Arial"/>
                <w:color w:val="000000"/>
                <w:sz w:val="18"/>
                <w:szCs w:val="18"/>
                <w:lang w:eastAsia="es-MX"/>
              </w:rPr>
            </w:pPr>
            <w:r w:rsidRPr="0048534C">
              <w:rPr>
                <w:rFonts w:ascii="Arial" w:eastAsia="Times New Roman" w:hAnsi="Arial" w:cs="Arial"/>
                <w:color w:val="000000"/>
                <w:sz w:val="18"/>
                <w:szCs w:val="18"/>
                <w:lang w:eastAsia="es-MX"/>
              </w:rPr>
              <w:t>Materiales de administración, emisión de documentos y artículos oficiales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20EF9DE" w14:textId="4E85B5C0" w:rsidR="008E3157" w:rsidRPr="0048534C" w:rsidRDefault="008E3157" w:rsidP="008E3157">
            <w:pPr>
              <w:jc w:val="right"/>
              <w:rPr>
                <w:rFonts w:ascii="Arial" w:eastAsia="Times New Roman" w:hAnsi="Arial" w:cs="Arial"/>
                <w:noProof/>
                <w:color w:val="000000"/>
                <w:sz w:val="18"/>
                <w:szCs w:val="18"/>
                <w:lang w:eastAsia="es-MX"/>
              </w:rPr>
            </w:pPr>
            <w:r w:rsidRPr="008E3157">
              <w:rPr>
                <w:rFonts w:ascii="Arial" w:eastAsia="Times New Roman" w:hAnsi="Arial" w:cs="Arial"/>
                <w:noProof/>
                <w:color w:val="000000"/>
                <w:sz w:val="18"/>
                <w:szCs w:val="18"/>
                <w:lang w:eastAsia="es-MX"/>
              </w:rPr>
              <w:t>10,513,942.39</w:t>
            </w:r>
          </w:p>
        </w:tc>
      </w:tr>
      <w:tr w:rsidR="008E3157" w:rsidRPr="0048534C" w14:paraId="620EF9E2" w14:textId="77777777" w:rsidTr="00546D3F">
        <w:trPr>
          <w:trHeight w:val="285"/>
          <w:jc w:val="center"/>
        </w:trPr>
        <w:tc>
          <w:tcPr>
            <w:tcW w:w="7261" w:type="dxa"/>
          </w:tcPr>
          <w:p w14:paraId="620EF9E0" w14:textId="0CAE1CB5" w:rsidR="008E3157" w:rsidRPr="0048534C" w:rsidRDefault="008E3157" w:rsidP="008E3157">
            <w:pPr>
              <w:rPr>
                <w:rFonts w:ascii="Arial" w:eastAsia="Times New Roman" w:hAnsi="Arial" w:cs="Arial"/>
                <w:color w:val="000000"/>
                <w:sz w:val="18"/>
                <w:szCs w:val="18"/>
                <w:lang w:eastAsia="es-MX"/>
              </w:rPr>
            </w:pPr>
            <w:r w:rsidRPr="0048534C">
              <w:rPr>
                <w:rFonts w:ascii="Arial" w:eastAsia="Times New Roman" w:hAnsi="Arial" w:cs="Arial"/>
                <w:color w:val="000000"/>
                <w:sz w:val="18"/>
                <w:szCs w:val="18"/>
                <w:lang w:eastAsia="es-MX"/>
              </w:rPr>
              <w:t>Alimentos y utensilios</w:t>
            </w:r>
          </w:p>
        </w:tc>
        <w:tc>
          <w:tcPr>
            <w:tcW w:w="1701" w:type="dxa"/>
            <w:tcBorders>
              <w:top w:val="nil"/>
              <w:left w:val="single" w:sz="4" w:space="0" w:color="000000"/>
              <w:bottom w:val="single" w:sz="4" w:space="0" w:color="000000"/>
              <w:right w:val="single" w:sz="4" w:space="0" w:color="000000"/>
            </w:tcBorders>
            <w:shd w:val="clear" w:color="auto" w:fill="auto"/>
          </w:tcPr>
          <w:p w14:paraId="620EF9E1" w14:textId="130D4947" w:rsidR="008E3157" w:rsidRPr="0048534C" w:rsidRDefault="008E3157" w:rsidP="008E3157">
            <w:pPr>
              <w:jc w:val="right"/>
              <w:rPr>
                <w:rFonts w:ascii="Arial" w:eastAsia="Times New Roman" w:hAnsi="Arial" w:cs="Arial"/>
                <w:noProof/>
                <w:color w:val="000000"/>
                <w:sz w:val="18"/>
                <w:szCs w:val="18"/>
                <w:lang w:eastAsia="es-MX"/>
              </w:rPr>
            </w:pPr>
            <w:r w:rsidRPr="008E3157">
              <w:rPr>
                <w:rFonts w:ascii="Arial" w:eastAsia="Times New Roman" w:hAnsi="Arial" w:cs="Arial"/>
                <w:noProof/>
                <w:color w:val="000000"/>
                <w:sz w:val="18"/>
                <w:szCs w:val="18"/>
                <w:lang w:eastAsia="es-MX"/>
              </w:rPr>
              <w:t>114,058.55</w:t>
            </w:r>
          </w:p>
        </w:tc>
      </w:tr>
      <w:tr w:rsidR="008E3157" w:rsidRPr="0048534C" w14:paraId="569F47F9" w14:textId="77777777" w:rsidTr="00546D3F">
        <w:trPr>
          <w:trHeight w:val="285"/>
          <w:jc w:val="center"/>
        </w:trPr>
        <w:tc>
          <w:tcPr>
            <w:tcW w:w="7261" w:type="dxa"/>
          </w:tcPr>
          <w:p w14:paraId="099E6CAF" w14:textId="73AD16F5" w:rsidR="008E3157" w:rsidRPr="0048534C" w:rsidRDefault="008E3157" w:rsidP="008E3157">
            <w:pPr>
              <w:rPr>
                <w:rFonts w:ascii="Arial" w:eastAsia="Times New Roman" w:hAnsi="Arial" w:cs="Arial"/>
                <w:color w:val="000000"/>
                <w:sz w:val="18"/>
                <w:szCs w:val="18"/>
                <w:lang w:eastAsia="es-MX"/>
              </w:rPr>
            </w:pPr>
            <w:r w:rsidRPr="00E460D4">
              <w:rPr>
                <w:rFonts w:ascii="Arial" w:eastAsia="Times New Roman" w:hAnsi="Arial" w:cs="Arial"/>
                <w:color w:val="000000"/>
                <w:sz w:val="18"/>
                <w:szCs w:val="18"/>
                <w:lang w:eastAsia="es-MX"/>
              </w:rPr>
              <w:t>Materiales y artículos de construcción y de reparación</w:t>
            </w:r>
          </w:p>
        </w:tc>
        <w:tc>
          <w:tcPr>
            <w:tcW w:w="1701" w:type="dxa"/>
            <w:tcBorders>
              <w:top w:val="nil"/>
              <w:left w:val="single" w:sz="4" w:space="0" w:color="000000"/>
              <w:bottom w:val="single" w:sz="4" w:space="0" w:color="000000"/>
              <w:right w:val="single" w:sz="4" w:space="0" w:color="000000"/>
            </w:tcBorders>
            <w:shd w:val="clear" w:color="auto" w:fill="auto"/>
          </w:tcPr>
          <w:p w14:paraId="1DBC29E0" w14:textId="2336E71B" w:rsidR="008E3157" w:rsidRPr="0048534C" w:rsidRDefault="008E3157" w:rsidP="008E3157">
            <w:pPr>
              <w:jc w:val="right"/>
              <w:rPr>
                <w:rFonts w:ascii="Arial" w:eastAsia="Times New Roman" w:hAnsi="Arial" w:cs="Arial"/>
                <w:noProof/>
                <w:color w:val="000000"/>
                <w:sz w:val="18"/>
                <w:szCs w:val="18"/>
                <w:lang w:eastAsia="es-MX"/>
              </w:rPr>
            </w:pPr>
            <w:r w:rsidRPr="008E3157">
              <w:rPr>
                <w:rFonts w:ascii="Arial" w:eastAsia="Times New Roman" w:hAnsi="Arial" w:cs="Arial"/>
                <w:noProof/>
                <w:color w:val="000000"/>
                <w:sz w:val="18"/>
                <w:szCs w:val="18"/>
                <w:lang w:eastAsia="es-MX"/>
              </w:rPr>
              <w:t>34,000.00</w:t>
            </w:r>
          </w:p>
        </w:tc>
      </w:tr>
      <w:tr w:rsidR="008E3157" w:rsidRPr="0048534C" w14:paraId="620EF9E5" w14:textId="77777777" w:rsidTr="00546D3F">
        <w:trPr>
          <w:trHeight w:val="285"/>
          <w:jc w:val="center"/>
        </w:trPr>
        <w:tc>
          <w:tcPr>
            <w:tcW w:w="7261" w:type="dxa"/>
            <w:hideMark/>
          </w:tcPr>
          <w:p w14:paraId="620EF9E3" w14:textId="48CE8EEE" w:rsidR="008E3157" w:rsidRPr="0048534C" w:rsidRDefault="008E3157" w:rsidP="008E3157">
            <w:pPr>
              <w:rPr>
                <w:rFonts w:ascii="Arial" w:eastAsia="Times New Roman" w:hAnsi="Arial" w:cs="Arial"/>
                <w:color w:val="000000"/>
                <w:sz w:val="18"/>
                <w:szCs w:val="18"/>
                <w:lang w:eastAsia="es-MX"/>
              </w:rPr>
            </w:pPr>
            <w:r w:rsidRPr="0048534C">
              <w:rPr>
                <w:rFonts w:ascii="Arial" w:eastAsia="Times New Roman" w:hAnsi="Arial" w:cs="Arial"/>
                <w:color w:val="000000"/>
                <w:sz w:val="18"/>
                <w:szCs w:val="18"/>
                <w:lang w:eastAsia="es-MX"/>
              </w:rPr>
              <w:t>Productos químicos, farmacéuticos y de laboratorio</w:t>
            </w:r>
          </w:p>
        </w:tc>
        <w:tc>
          <w:tcPr>
            <w:tcW w:w="1701" w:type="dxa"/>
            <w:tcBorders>
              <w:top w:val="nil"/>
              <w:left w:val="single" w:sz="4" w:space="0" w:color="000000"/>
              <w:bottom w:val="single" w:sz="4" w:space="0" w:color="000000"/>
              <w:right w:val="single" w:sz="4" w:space="0" w:color="000000"/>
            </w:tcBorders>
            <w:shd w:val="clear" w:color="auto" w:fill="auto"/>
            <w:hideMark/>
          </w:tcPr>
          <w:p w14:paraId="620EF9E4" w14:textId="7591F427" w:rsidR="008E3157" w:rsidRPr="0048534C" w:rsidRDefault="008E3157" w:rsidP="008E3157">
            <w:pPr>
              <w:jc w:val="right"/>
              <w:rPr>
                <w:rFonts w:ascii="Arial" w:eastAsia="Times New Roman" w:hAnsi="Arial" w:cs="Arial"/>
                <w:noProof/>
                <w:color w:val="000000"/>
                <w:sz w:val="18"/>
                <w:szCs w:val="18"/>
                <w:lang w:eastAsia="es-MX"/>
              </w:rPr>
            </w:pPr>
            <w:r w:rsidRPr="008E3157">
              <w:rPr>
                <w:rFonts w:ascii="Arial" w:eastAsia="Times New Roman" w:hAnsi="Arial" w:cs="Arial"/>
                <w:noProof/>
                <w:color w:val="000000"/>
                <w:sz w:val="18"/>
                <w:szCs w:val="18"/>
                <w:lang w:eastAsia="es-MX"/>
              </w:rPr>
              <w:t>211,209,007.53</w:t>
            </w:r>
          </w:p>
        </w:tc>
      </w:tr>
      <w:tr w:rsidR="008E3157" w:rsidRPr="0048534C" w14:paraId="620EF9E8" w14:textId="77777777" w:rsidTr="0048534C">
        <w:trPr>
          <w:trHeight w:val="257"/>
          <w:jc w:val="center"/>
        </w:trPr>
        <w:tc>
          <w:tcPr>
            <w:tcW w:w="7261" w:type="dxa"/>
            <w:hideMark/>
          </w:tcPr>
          <w:p w14:paraId="620EF9E6" w14:textId="57AADCE6" w:rsidR="008E3157" w:rsidRPr="0048534C" w:rsidRDefault="008E3157" w:rsidP="008E3157">
            <w:pPr>
              <w:rPr>
                <w:rFonts w:ascii="Arial" w:eastAsia="Times New Roman" w:hAnsi="Arial" w:cs="Arial"/>
                <w:color w:val="000000"/>
                <w:sz w:val="18"/>
                <w:szCs w:val="18"/>
                <w:lang w:eastAsia="es-MX"/>
              </w:rPr>
            </w:pPr>
            <w:r w:rsidRPr="0048534C">
              <w:rPr>
                <w:rFonts w:ascii="Arial" w:eastAsia="Times New Roman" w:hAnsi="Arial" w:cs="Arial"/>
                <w:color w:val="000000"/>
                <w:sz w:val="18"/>
                <w:szCs w:val="18"/>
                <w:lang w:eastAsia="es-MX"/>
              </w:rPr>
              <w:t>Vestuario, blancos, prendas de protección y artículos deportivos</w:t>
            </w:r>
          </w:p>
        </w:tc>
        <w:tc>
          <w:tcPr>
            <w:tcW w:w="1701" w:type="dxa"/>
            <w:hideMark/>
          </w:tcPr>
          <w:p w14:paraId="620EF9E7" w14:textId="57D7703E" w:rsidR="008E3157" w:rsidRPr="0048534C" w:rsidRDefault="008E3157" w:rsidP="008E3157">
            <w:pPr>
              <w:jc w:val="right"/>
              <w:rPr>
                <w:rFonts w:ascii="Arial" w:eastAsia="Times New Roman" w:hAnsi="Arial" w:cs="Arial"/>
                <w:noProof/>
                <w:color w:val="000000"/>
                <w:sz w:val="18"/>
                <w:szCs w:val="18"/>
                <w:lang w:eastAsia="es-MX"/>
              </w:rPr>
            </w:pPr>
            <w:r w:rsidRPr="008E3157">
              <w:rPr>
                <w:rFonts w:ascii="Arial" w:eastAsia="Times New Roman" w:hAnsi="Arial" w:cs="Arial"/>
                <w:noProof/>
                <w:color w:val="000000"/>
                <w:sz w:val="18"/>
                <w:szCs w:val="18"/>
                <w:lang w:eastAsia="es-MX"/>
              </w:rPr>
              <w:t>2,844,853.48</w:t>
            </w:r>
          </w:p>
        </w:tc>
      </w:tr>
      <w:tr w:rsidR="008E3157" w:rsidRPr="0048534C" w14:paraId="620EF9EB" w14:textId="77777777" w:rsidTr="0048534C">
        <w:trPr>
          <w:trHeight w:val="257"/>
          <w:jc w:val="center"/>
        </w:trPr>
        <w:tc>
          <w:tcPr>
            <w:tcW w:w="7261" w:type="dxa"/>
          </w:tcPr>
          <w:p w14:paraId="620EF9E9" w14:textId="6F2B8F8B" w:rsidR="008E3157" w:rsidRPr="0048534C" w:rsidRDefault="008E3157" w:rsidP="008E3157">
            <w:pPr>
              <w:rPr>
                <w:rFonts w:ascii="Arial" w:eastAsia="Times New Roman" w:hAnsi="Arial" w:cs="Arial"/>
                <w:color w:val="000000"/>
                <w:sz w:val="18"/>
                <w:szCs w:val="18"/>
                <w:lang w:eastAsia="es-MX"/>
              </w:rPr>
            </w:pPr>
            <w:r w:rsidRPr="0048534C">
              <w:rPr>
                <w:rFonts w:ascii="Arial" w:eastAsia="Times New Roman" w:hAnsi="Arial" w:cs="Arial"/>
                <w:color w:val="000000"/>
                <w:sz w:val="18"/>
                <w:szCs w:val="18"/>
                <w:lang w:eastAsia="es-MX"/>
              </w:rPr>
              <w:t>Herramientas, refacciones y accesorios menores</w:t>
            </w:r>
          </w:p>
        </w:tc>
        <w:tc>
          <w:tcPr>
            <w:tcW w:w="1701" w:type="dxa"/>
          </w:tcPr>
          <w:p w14:paraId="620EF9EA" w14:textId="53D2E8BF" w:rsidR="008E3157" w:rsidRPr="0048534C" w:rsidRDefault="008E3157" w:rsidP="008E3157">
            <w:pPr>
              <w:jc w:val="right"/>
              <w:rPr>
                <w:rFonts w:ascii="Arial" w:eastAsia="Times New Roman" w:hAnsi="Arial" w:cs="Arial"/>
                <w:noProof/>
                <w:color w:val="000000"/>
                <w:sz w:val="18"/>
                <w:szCs w:val="18"/>
                <w:lang w:eastAsia="es-MX"/>
              </w:rPr>
            </w:pPr>
            <w:r w:rsidRPr="008E3157">
              <w:rPr>
                <w:rFonts w:ascii="Arial" w:eastAsia="Times New Roman" w:hAnsi="Arial" w:cs="Arial"/>
                <w:noProof/>
                <w:color w:val="000000"/>
                <w:sz w:val="18"/>
                <w:szCs w:val="18"/>
                <w:lang w:eastAsia="es-MX"/>
              </w:rPr>
              <w:t>95,203.72</w:t>
            </w:r>
          </w:p>
        </w:tc>
      </w:tr>
      <w:tr w:rsidR="00232EA6" w:rsidRPr="002E38A5" w14:paraId="2E0E5F58" w14:textId="77777777" w:rsidTr="0048534C">
        <w:trPr>
          <w:trHeight w:val="257"/>
          <w:jc w:val="center"/>
        </w:trPr>
        <w:tc>
          <w:tcPr>
            <w:tcW w:w="7261" w:type="dxa"/>
          </w:tcPr>
          <w:p w14:paraId="1BEF310C" w14:textId="735A0FFE" w:rsidR="00232EA6" w:rsidRPr="002E38A5" w:rsidRDefault="00232EA6" w:rsidP="002E38A5">
            <w:pPr>
              <w:rPr>
                <w:rFonts w:ascii="Arial" w:eastAsia="Times New Roman" w:hAnsi="Arial" w:cs="Arial"/>
                <w:b/>
                <w:color w:val="000000"/>
                <w:sz w:val="18"/>
                <w:szCs w:val="18"/>
                <w:lang w:eastAsia="es-MX"/>
              </w:rPr>
            </w:pPr>
            <w:r w:rsidRPr="002E38A5">
              <w:rPr>
                <w:rFonts w:ascii="Arial" w:eastAsia="Times New Roman" w:hAnsi="Arial" w:cs="Arial"/>
                <w:b/>
                <w:color w:val="000000"/>
                <w:sz w:val="18"/>
                <w:szCs w:val="18"/>
                <w:lang w:eastAsia="es-MX"/>
              </w:rPr>
              <w:t>Suma</w:t>
            </w:r>
          </w:p>
        </w:tc>
        <w:tc>
          <w:tcPr>
            <w:tcW w:w="1701" w:type="dxa"/>
          </w:tcPr>
          <w:p w14:paraId="42395F6B" w14:textId="0EEC3B71" w:rsidR="00232EA6" w:rsidRPr="002E38A5" w:rsidRDefault="008E3157" w:rsidP="00E460D4">
            <w:pPr>
              <w:jc w:val="right"/>
              <w:rPr>
                <w:rFonts w:ascii="Arial" w:eastAsia="Times New Roman" w:hAnsi="Arial" w:cs="Arial"/>
                <w:b/>
                <w:color w:val="000000"/>
                <w:sz w:val="18"/>
                <w:szCs w:val="18"/>
                <w:lang w:eastAsia="es-MX"/>
              </w:rPr>
            </w:pPr>
            <w:r w:rsidRPr="002E38A5">
              <w:rPr>
                <w:rFonts w:ascii="Arial" w:eastAsia="Times New Roman" w:hAnsi="Arial" w:cs="Arial"/>
                <w:b/>
                <w:color w:val="000000"/>
                <w:sz w:val="18"/>
                <w:szCs w:val="18"/>
                <w:lang w:eastAsia="es-MX"/>
              </w:rPr>
              <w:fldChar w:fldCharType="begin"/>
            </w:r>
            <w:r w:rsidRPr="002E38A5">
              <w:rPr>
                <w:rFonts w:ascii="Arial" w:eastAsia="Times New Roman" w:hAnsi="Arial" w:cs="Arial"/>
                <w:b/>
                <w:color w:val="000000"/>
                <w:sz w:val="18"/>
                <w:szCs w:val="18"/>
                <w:lang w:eastAsia="es-MX"/>
              </w:rPr>
              <w:instrText xml:space="preserve"> =SUM(ABOVE) </w:instrText>
            </w:r>
            <w:r w:rsidRPr="002E38A5">
              <w:rPr>
                <w:rFonts w:ascii="Arial" w:eastAsia="Times New Roman" w:hAnsi="Arial" w:cs="Arial"/>
                <w:b/>
                <w:color w:val="000000"/>
                <w:sz w:val="18"/>
                <w:szCs w:val="18"/>
                <w:lang w:eastAsia="es-MX"/>
              </w:rPr>
              <w:fldChar w:fldCharType="separate"/>
            </w:r>
            <w:r w:rsidRPr="002E38A5">
              <w:rPr>
                <w:rFonts w:ascii="Arial" w:eastAsia="Times New Roman" w:hAnsi="Arial" w:cs="Arial"/>
                <w:b/>
                <w:noProof/>
                <w:color w:val="000000"/>
                <w:sz w:val="18"/>
                <w:szCs w:val="18"/>
                <w:lang w:eastAsia="es-MX"/>
              </w:rPr>
              <w:t>224,811,065.67</w:t>
            </w:r>
            <w:r w:rsidRPr="002E38A5">
              <w:rPr>
                <w:rFonts w:ascii="Arial" w:eastAsia="Times New Roman" w:hAnsi="Arial" w:cs="Arial"/>
                <w:b/>
                <w:color w:val="000000"/>
                <w:sz w:val="18"/>
                <w:szCs w:val="18"/>
                <w:lang w:eastAsia="es-MX"/>
              </w:rPr>
              <w:fldChar w:fldCharType="end"/>
            </w:r>
          </w:p>
        </w:tc>
      </w:tr>
    </w:tbl>
    <w:p w14:paraId="620EF9EC" w14:textId="77777777" w:rsidR="00AC7F8A" w:rsidRDefault="00AC7F8A" w:rsidP="00AC7F8A">
      <w:pPr>
        <w:pStyle w:val="Texto"/>
        <w:spacing w:after="0" w:line="240" w:lineRule="exact"/>
        <w:rPr>
          <w:szCs w:val="18"/>
          <w:lang w:val="es-MX"/>
        </w:rPr>
      </w:pPr>
    </w:p>
    <w:p w14:paraId="620EF9ED" w14:textId="403863CB" w:rsidR="00AC7F8A" w:rsidRDefault="0048534C" w:rsidP="00AC7F8A">
      <w:pPr>
        <w:pStyle w:val="Texto"/>
        <w:spacing w:after="0" w:line="240" w:lineRule="exact"/>
        <w:rPr>
          <w:szCs w:val="18"/>
          <w:lang w:val="es-MX"/>
        </w:rPr>
      </w:pPr>
      <w:r>
        <w:rPr>
          <w:szCs w:val="18"/>
          <w:lang w:val="es-MX"/>
        </w:rPr>
        <w:t>Al periodo que se informa</w:t>
      </w:r>
      <w:r w:rsidR="00CB3FA8" w:rsidRPr="00733E22">
        <w:rPr>
          <w:szCs w:val="18"/>
          <w:lang w:val="es-MX"/>
        </w:rPr>
        <w:t xml:space="preserve"> </w:t>
      </w:r>
      <w:r w:rsidR="00AC7F8A">
        <w:rPr>
          <w:szCs w:val="18"/>
          <w:lang w:val="es-MX"/>
        </w:rPr>
        <w:t>se</w:t>
      </w:r>
      <w:r w:rsidR="00AC7F8A" w:rsidRPr="00733E22">
        <w:rPr>
          <w:szCs w:val="18"/>
          <w:lang w:val="es-MX"/>
        </w:rPr>
        <w:t xml:space="preserve"> utiliza</w:t>
      </w:r>
      <w:r>
        <w:rPr>
          <w:szCs w:val="18"/>
          <w:lang w:val="es-MX"/>
        </w:rPr>
        <w:t>ro</w:t>
      </w:r>
      <w:r w:rsidR="00AC7F8A" w:rsidRPr="00733E22">
        <w:rPr>
          <w:szCs w:val="18"/>
          <w:lang w:val="es-MX"/>
        </w:rPr>
        <w:t xml:space="preserve">n </w:t>
      </w:r>
      <w:r>
        <w:rPr>
          <w:szCs w:val="18"/>
          <w:lang w:val="es-MX"/>
        </w:rPr>
        <w:t xml:space="preserve">las </w:t>
      </w:r>
      <w:r w:rsidR="00AC7F8A" w:rsidRPr="00733E22">
        <w:rPr>
          <w:szCs w:val="18"/>
          <w:lang w:val="es-MX"/>
        </w:rPr>
        <w:t>cuentas de orden</w:t>
      </w:r>
      <w:r w:rsidR="00AC7F8A">
        <w:rPr>
          <w:szCs w:val="18"/>
          <w:lang w:val="es-MX"/>
        </w:rPr>
        <w:t xml:space="preserve"> presupuestarias que se enlistan a continuación:</w:t>
      </w:r>
    </w:p>
    <w:p w14:paraId="620EF9EE" w14:textId="77777777" w:rsidR="00AC7F8A" w:rsidRDefault="00AC7F8A" w:rsidP="00AC7F8A">
      <w:pPr>
        <w:pStyle w:val="Texto"/>
        <w:spacing w:after="0" w:line="240" w:lineRule="exact"/>
        <w:rPr>
          <w:szCs w:val="18"/>
          <w:lang w:val="es-MX"/>
        </w:rPr>
      </w:pPr>
    </w:p>
    <w:tbl>
      <w:tblPr>
        <w:tblpPr w:leftFromText="141" w:rightFromText="141" w:vertAnchor="text" w:tblpXSpec="center" w:tblpY="1"/>
        <w:tblOverlap w:val="never"/>
        <w:tblW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8"/>
      </w:tblGrid>
      <w:tr w:rsidR="00AC7F8A" w:rsidRPr="00DC1457" w14:paraId="620EF9F0" w14:textId="77777777" w:rsidTr="00A0339D">
        <w:trPr>
          <w:trHeight w:val="285"/>
        </w:trPr>
        <w:tc>
          <w:tcPr>
            <w:tcW w:w="6618" w:type="dxa"/>
            <w:shd w:val="clear" w:color="auto" w:fill="auto"/>
            <w:vAlign w:val="bottom"/>
            <w:hideMark/>
          </w:tcPr>
          <w:p w14:paraId="620EF9EF"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w:t>
            </w:r>
          </w:p>
        </w:tc>
      </w:tr>
      <w:tr w:rsidR="00AC7F8A" w:rsidRPr="00DC1457" w14:paraId="620EF9F2" w14:textId="77777777" w:rsidTr="00A0339D">
        <w:trPr>
          <w:trHeight w:val="285"/>
        </w:trPr>
        <w:tc>
          <w:tcPr>
            <w:tcW w:w="6618" w:type="dxa"/>
            <w:shd w:val="clear" w:color="auto" w:fill="auto"/>
            <w:vAlign w:val="bottom"/>
            <w:hideMark/>
          </w:tcPr>
          <w:p w14:paraId="620EF9F1"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 xml:space="preserve">LEY DE INGRESOS ESTIMADA [LEY DE INGRESOS </w:t>
            </w:r>
            <w:proofErr w:type="gramStart"/>
            <w:r w:rsidRPr="00DC1457">
              <w:rPr>
                <w:rFonts w:ascii="Arial" w:eastAsia="Times New Roman" w:hAnsi="Arial" w:cs="Arial"/>
                <w:color w:val="000000"/>
                <w:sz w:val="18"/>
                <w:szCs w:val="18"/>
                <w:lang w:eastAsia="es-MX"/>
              </w:rPr>
              <w:t>ESTIMADA ]</w:t>
            </w:r>
            <w:proofErr w:type="gramEnd"/>
          </w:p>
        </w:tc>
      </w:tr>
      <w:tr w:rsidR="00AC7F8A" w:rsidRPr="00DC1457" w14:paraId="620EF9F4" w14:textId="77777777" w:rsidTr="00A0339D">
        <w:trPr>
          <w:trHeight w:val="285"/>
        </w:trPr>
        <w:tc>
          <w:tcPr>
            <w:tcW w:w="6618" w:type="dxa"/>
            <w:shd w:val="clear" w:color="auto" w:fill="auto"/>
            <w:vAlign w:val="bottom"/>
            <w:hideMark/>
          </w:tcPr>
          <w:p w14:paraId="620EF9F3"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 xml:space="preserve">LEY DE INGRESOS POR EJECUTAR [LEY DE INGRESOS POR </w:t>
            </w:r>
            <w:proofErr w:type="gramStart"/>
            <w:r w:rsidRPr="00DC1457">
              <w:rPr>
                <w:rFonts w:ascii="Arial" w:eastAsia="Times New Roman" w:hAnsi="Arial" w:cs="Arial"/>
                <w:color w:val="000000"/>
                <w:sz w:val="18"/>
                <w:szCs w:val="18"/>
                <w:lang w:eastAsia="es-MX"/>
              </w:rPr>
              <w:t>EJECUTAR ]</w:t>
            </w:r>
            <w:proofErr w:type="gramEnd"/>
          </w:p>
        </w:tc>
      </w:tr>
      <w:tr w:rsidR="00AC7F8A" w:rsidRPr="00DC1457" w14:paraId="620EF9F6" w14:textId="77777777" w:rsidTr="00A0339D">
        <w:trPr>
          <w:trHeight w:val="285"/>
        </w:trPr>
        <w:tc>
          <w:tcPr>
            <w:tcW w:w="6618" w:type="dxa"/>
            <w:shd w:val="clear" w:color="auto" w:fill="auto"/>
            <w:vAlign w:val="bottom"/>
            <w:hideMark/>
          </w:tcPr>
          <w:p w14:paraId="620EF9F5"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MODIFICACIONES A LA LEY DE INGRESOS ESTIMADA</w:t>
            </w:r>
          </w:p>
        </w:tc>
      </w:tr>
      <w:tr w:rsidR="00AC7F8A" w:rsidRPr="00DC1457" w14:paraId="620EF9F8" w14:textId="77777777" w:rsidTr="00A0339D">
        <w:trPr>
          <w:trHeight w:val="285"/>
        </w:trPr>
        <w:tc>
          <w:tcPr>
            <w:tcW w:w="6618" w:type="dxa"/>
            <w:shd w:val="clear" w:color="auto" w:fill="auto"/>
            <w:vAlign w:val="bottom"/>
            <w:hideMark/>
          </w:tcPr>
          <w:p w14:paraId="620EF9F7"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 xml:space="preserve">LEY DE INGRESOS DEVENGADA [LEY DE INGRESOS </w:t>
            </w:r>
            <w:proofErr w:type="gramStart"/>
            <w:r w:rsidRPr="00DC1457">
              <w:rPr>
                <w:rFonts w:ascii="Arial" w:eastAsia="Times New Roman" w:hAnsi="Arial" w:cs="Arial"/>
                <w:color w:val="000000"/>
                <w:sz w:val="18"/>
                <w:szCs w:val="18"/>
                <w:lang w:eastAsia="es-MX"/>
              </w:rPr>
              <w:t>DEVENGADA ]</w:t>
            </w:r>
            <w:proofErr w:type="gramEnd"/>
          </w:p>
        </w:tc>
      </w:tr>
      <w:tr w:rsidR="00AC7F8A" w:rsidRPr="00DC1457" w14:paraId="620EF9FA" w14:textId="77777777" w:rsidTr="00A0339D">
        <w:trPr>
          <w:trHeight w:val="285"/>
        </w:trPr>
        <w:tc>
          <w:tcPr>
            <w:tcW w:w="6618" w:type="dxa"/>
            <w:shd w:val="clear" w:color="auto" w:fill="auto"/>
            <w:vAlign w:val="bottom"/>
            <w:hideMark/>
          </w:tcPr>
          <w:p w14:paraId="620EF9F9"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 xml:space="preserve">LEY DE INGRESOS RECAUDADA [LEY DE INGRESOS </w:t>
            </w:r>
            <w:proofErr w:type="gramStart"/>
            <w:r w:rsidRPr="00DC1457">
              <w:rPr>
                <w:rFonts w:ascii="Arial" w:eastAsia="Times New Roman" w:hAnsi="Arial" w:cs="Arial"/>
                <w:color w:val="000000"/>
                <w:sz w:val="18"/>
                <w:szCs w:val="18"/>
                <w:lang w:eastAsia="es-MX"/>
              </w:rPr>
              <w:t>RECAUDADA ]</w:t>
            </w:r>
            <w:proofErr w:type="gramEnd"/>
          </w:p>
        </w:tc>
      </w:tr>
      <w:tr w:rsidR="00AC7F8A" w:rsidRPr="00DC1457" w14:paraId="620EF9FC" w14:textId="77777777" w:rsidTr="00A0339D">
        <w:trPr>
          <w:trHeight w:val="285"/>
        </w:trPr>
        <w:tc>
          <w:tcPr>
            <w:tcW w:w="6618" w:type="dxa"/>
            <w:shd w:val="clear" w:color="auto" w:fill="auto"/>
            <w:vAlign w:val="bottom"/>
          </w:tcPr>
          <w:p w14:paraId="620EF9FB" w14:textId="77777777" w:rsidR="00AC7F8A" w:rsidRPr="00DC1457" w:rsidRDefault="00AC7F8A" w:rsidP="00AD6257">
            <w:pPr>
              <w:spacing w:after="0" w:line="240" w:lineRule="auto"/>
              <w:rPr>
                <w:rFonts w:ascii="Arial" w:eastAsia="Times New Roman" w:hAnsi="Arial" w:cs="Arial"/>
                <w:color w:val="000000"/>
                <w:sz w:val="18"/>
                <w:szCs w:val="18"/>
                <w:lang w:eastAsia="es-MX"/>
              </w:rPr>
            </w:pPr>
          </w:p>
        </w:tc>
      </w:tr>
      <w:tr w:rsidR="00AC7F8A" w:rsidRPr="00DC1457" w14:paraId="620EF9FE" w14:textId="77777777" w:rsidTr="00A0339D">
        <w:trPr>
          <w:trHeight w:val="285"/>
        </w:trPr>
        <w:tc>
          <w:tcPr>
            <w:tcW w:w="6618" w:type="dxa"/>
            <w:shd w:val="clear" w:color="auto" w:fill="auto"/>
            <w:vAlign w:val="bottom"/>
            <w:hideMark/>
          </w:tcPr>
          <w:p w14:paraId="620EF9FD"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w:t>
            </w:r>
          </w:p>
        </w:tc>
      </w:tr>
      <w:tr w:rsidR="00AC7F8A" w:rsidRPr="00DC1457" w14:paraId="620EFA00" w14:textId="77777777" w:rsidTr="00A0339D">
        <w:trPr>
          <w:trHeight w:val="285"/>
        </w:trPr>
        <w:tc>
          <w:tcPr>
            <w:tcW w:w="6618" w:type="dxa"/>
            <w:shd w:val="clear" w:color="auto" w:fill="auto"/>
            <w:vAlign w:val="bottom"/>
            <w:hideMark/>
          </w:tcPr>
          <w:p w14:paraId="620EF9FF"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APROBADO</w:t>
            </w:r>
          </w:p>
        </w:tc>
      </w:tr>
      <w:tr w:rsidR="00AC7F8A" w:rsidRPr="00DC1457" w14:paraId="620EFA02" w14:textId="77777777" w:rsidTr="00A0339D">
        <w:trPr>
          <w:trHeight w:val="285"/>
        </w:trPr>
        <w:tc>
          <w:tcPr>
            <w:tcW w:w="6618" w:type="dxa"/>
            <w:shd w:val="clear" w:color="auto" w:fill="auto"/>
            <w:vAlign w:val="bottom"/>
            <w:hideMark/>
          </w:tcPr>
          <w:p w14:paraId="620EFA01"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POR EJERCER</w:t>
            </w:r>
          </w:p>
        </w:tc>
      </w:tr>
      <w:tr w:rsidR="00AC7F8A" w:rsidRPr="00DC1457" w14:paraId="620EFA04" w14:textId="77777777" w:rsidTr="00A0339D">
        <w:trPr>
          <w:trHeight w:val="285"/>
        </w:trPr>
        <w:tc>
          <w:tcPr>
            <w:tcW w:w="6618" w:type="dxa"/>
            <w:shd w:val="clear" w:color="auto" w:fill="auto"/>
            <w:vAlign w:val="bottom"/>
            <w:hideMark/>
          </w:tcPr>
          <w:p w14:paraId="620EFA03"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MODIFICACIONES AL PRESUPUESTO DE EGRESOS APROBADO</w:t>
            </w:r>
          </w:p>
        </w:tc>
      </w:tr>
      <w:tr w:rsidR="00AC7F8A" w:rsidRPr="00DC1457" w14:paraId="620EFA06" w14:textId="77777777" w:rsidTr="00A0339D">
        <w:trPr>
          <w:trHeight w:val="285"/>
        </w:trPr>
        <w:tc>
          <w:tcPr>
            <w:tcW w:w="6618" w:type="dxa"/>
            <w:shd w:val="clear" w:color="auto" w:fill="auto"/>
            <w:vAlign w:val="bottom"/>
            <w:hideMark/>
          </w:tcPr>
          <w:p w14:paraId="620EFA05"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COMPROMETIDO</w:t>
            </w:r>
          </w:p>
        </w:tc>
      </w:tr>
      <w:tr w:rsidR="00AC7F8A" w:rsidRPr="00DC1457" w14:paraId="620EFA08" w14:textId="77777777" w:rsidTr="00A0339D">
        <w:trPr>
          <w:trHeight w:val="285"/>
        </w:trPr>
        <w:tc>
          <w:tcPr>
            <w:tcW w:w="6618" w:type="dxa"/>
            <w:shd w:val="clear" w:color="auto" w:fill="auto"/>
            <w:vAlign w:val="bottom"/>
            <w:hideMark/>
          </w:tcPr>
          <w:p w14:paraId="620EFA07"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DEVENGADO</w:t>
            </w:r>
          </w:p>
        </w:tc>
      </w:tr>
      <w:tr w:rsidR="00AC7F8A" w:rsidRPr="00DC1457" w14:paraId="620EFA0A" w14:textId="77777777" w:rsidTr="00A0339D">
        <w:trPr>
          <w:trHeight w:val="285"/>
        </w:trPr>
        <w:tc>
          <w:tcPr>
            <w:tcW w:w="6618" w:type="dxa"/>
            <w:shd w:val="clear" w:color="auto" w:fill="auto"/>
            <w:vAlign w:val="bottom"/>
            <w:hideMark/>
          </w:tcPr>
          <w:p w14:paraId="620EFA09"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EJERCIDO</w:t>
            </w:r>
          </w:p>
        </w:tc>
      </w:tr>
      <w:tr w:rsidR="00AC7F8A" w:rsidRPr="00DC1457" w14:paraId="620EFA0C" w14:textId="77777777" w:rsidTr="00A0339D">
        <w:trPr>
          <w:trHeight w:val="285"/>
        </w:trPr>
        <w:tc>
          <w:tcPr>
            <w:tcW w:w="6618" w:type="dxa"/>
            <w:shd w:val="clear" w:color="auto" w:fill="auto"/>
            <w:vAlign w:val="bottom"/>
            <w:hideMark/>
          </w:tcPr>
          <w:p w14:paraId="620EFA0B" w14:textId="77777777" w:rsidR="00AC7F8A" w:rsidRPr="00DC1457" w:rsidRDefault="00AC7F8A" w:rsidP="00AD6257">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PAGADO</w:t>
            </w:r>
          </w:p>
        </w:tc>
      </w:tr>
    </w:tbl>
    <w:p w14:paraId="620EFA0D" w14:textId="77777777" w:rsidR="00AC7F8A" w:rsidRPr="00630DB0" w:rsidRDefault="00AC7F8A" w:rsidP="00AC7F8A">
      <w:pPr>
        <w:pStyle w:val="Texto"/>
        <w:spacing w:after="0" w:line="240" w:lineRule="exact"/>
        <w:rPr>
          <w:szCs w:val="18"/>
          <w:lang w:val="es-MX"/>
        </w:rPr>
      </w:pPr>
      <w:r>
        <w:rPr>
          <w:szCs w:val="18"/>
          <w:lang w:val="es-MX"/>
        </w:rPr>
        <w:br w:type="textWrapping" w:clear="all"/>
      </w:r>
    </w:p>
    <w:p w14:paraId="620EFA0E" w14:textId="77777777" w:rsidR="00AC7F8A" w:rsidRDefault="00AC7F8A" w:rsidP="00AC7F8A">
      <w:pPr>
        <w:pStyle w:val="Texto"/>
        <w:spacing w:after="0" w:line="240" w:lineRule="exact"/>
        <w:rPr>
          <w:szCs w:val="18"/>
          <w:lang w:val="es-MX"/>
        </w:rPr>
      </w:pPr>
    </w:p>
    <w:p w14:paraId="620EFA0F" w14:textId="77777777" w:rsidR="00A0339D" w:rsidRDefault="00A0339D" w:rsidP="00AC7F8A">
      <w:pPr>
        <w:pStyle w:val="Texto"/>
        <w:spacing w:after="0" w:line="240" w:lineRule="exact"/>
        <w:rPr>
          <w:szCs w:val="18"/>
          <w:lang w:val="es-MX"/>
        </w:rPr>
      </w:pPr>
    </w:p>
    <w:p w14:paraId="620EFA11" w14:textId="77777777" w:rsidR="00AC7F8A" w:rsidRPr="00630DB0" w:rsidRDefault="00AC7F8A" w:rsidP="00AC7F8A">
      <w:pPr>
        <w:pStyle w:val="Texto"/>
        <w:spacing w:after="0" w:line="240" w:lineRule="exact"/>
        <w:ind w:firstLine="0"/>
        <w:jc w:val="center"/>
        <w:rPr>
          <w:b/>
          <w:szCs w:val="18"/>
          <w:lang w:val="es-MX"/>
        </w:rPr>
      </w:pPr>
      <w:r w:rsidRPr="00630DB0">
        <w:rPr>
          <w:b/>
          <w:szCs w:val="18"/>
          <w:lang w:val="es-MX"/>
        </w:rPr>
        <w:lastRenderedPageBreak/>
        <w:t>c) NOTAS DE GESTIÓN ADMINISTRATIVA</w:t>
      </w:r>
    </w:p>
    <w:p w14:paraId="620EFA12" w14:textId="77777777" w:rsidR="00AC7F8A" w:rsidRPr="00630DB0" w:rsidRDefault="00AC7F8A" w:rsidP="00AC7F8A">
      <w:pPr>
        <w:pStyle w:val="Texto"/>
        <w:spacing w:after="0" w:line="240" w:lineRule="exact"/>
        <w:ind w:firstLine="0"/>
        <w:jc w:val="left"/>
        <w:rPr>
          <w:b/>
          <w:szCs w:val="18"/>
          <w:lang w:val="es-MX"/>
        </w:rPr>
      </w:pPr>
    </w:p>
    <w:p w14:paraId="620EFA13" w14:textId="77777777" w:rsidR="00AC7F8A" w:rsidRPr="00630DB0" w:rsidRDefault="00AC7F8A" w:rsidP="00AC7F8A">
      <w:pPr>
        <w:pStyle w:val="Texto"/>
        <w:spacing w:after="0" w:line="240" w:lineRule="exact"/>
        <w:rPr>
          <w:b/>
          <w:szCs w:val="18"/>
        </w:rPr>
      </w:pPr>
      <w:r w:rsidRPr="00630DB0">
        <w:rPr>
          <w:b/>
          <w:szCs w:val="18"/>
          <w:lang w:val="es-MX"/>
        </w:rPr>
        <w:t>Introducción</w:t>
      </w:r>
    </w:p>
    <w:p w14:paraId="620EFA14" w14:textId="20D00516" w:rsidR="00AC7F8A" w:rsidRPr="000C574E" w:rsidRDefault="00AC7F8A" w:rsidP="00AC7F8A">
      <w:pPr>
        <w:tabs>
          <w:tab w:val="left" w:pos="284"/>
        </w:tabs>
        <w:ind w:left="284"/>
        <w:jc w:val="both"/>
        <w:rPr>
          <w:rFonts w:ascii="Arial" w:eastAsia="Times New Roman" w:hAnsi="Arial" w:cs="Arial"/>
          <w:sz w:val="18"/>
          <w:szCs w:val="18"/>
          <w:lang w:val="es-ES" w:eastAsia="es-ES"/>
        </w:rPr>
      </w:pPr>
      <w:r w:rsidRPr="001F011E">
        <w:rPr>
          <w:rFonts w:ascii="Arial" w:eastAsia="Times New Roman" w:hAnsi="Arial" w:cs="Arial"/>
          <w:sz w:val="18"/>
          <w:szCs w:val="18"/>
          <w:lang w:val="es-ES" w:eastAsia="es-ES"/>
        </w:rPr>
        <w:t>Conforme a lo establecido en la Ley Orgánica de la Administración Pública del Estado de Tlaxcala, l</w:t>
      </w:r>
      <w:r w:rsidRPr="000C574E">
        <w:rPr>
          <w:rFonts w:ascii="Arial" w:eastAsia="Times New Roman" w:hAnsi="Arial" w:cs="Arial"/>
          <w:sz w:val="18"/>
          <w:szCs w:val="18"/>
          <w:lang w:val="es-ES" w:eastAsia="es-ES"/>
        </w:rPr>
        <w:t>a Secretar</w:t>
      </w:r>
      <w:r w:rsidR="003A5953">
        <w:rPr>
          <w:rFonts w:ascii="Arial" w:eastAsia="Times New Roman" w:hAnsi="Arial" w:cs="Arial"/>
          <w:sz w:val="18"/>
          <w:szCs w:val="18"/>
          <w:lang w:val="es-ES" w:eastAsia="es-ES"/>
        </w:rPr>
        <w:t>í</w:t>
      </w:r>
      <w:r w:rsidRPr="000C574E">
        <w:rPr>
          <w:rFonts w:ascii="Arial" w:eastAsia="Times New Roman" w:hAnsi="Arial" w:cs="Arial"/>
          <w:sz w:val="18"/>
          <w:szCs w:val="18"/>
          <w:lang w:val="es-ES" w:eastAsia="es-ES"/>
        </w:rPr>
        <w:t xml:space="preserve">a de Salud es la encargada de establecer la política Estatal en materia de salud, </w:t>
      </w:r>
      <w:r w:rsidRPr="001F011E">
        <w:rPr>
          <w:rFonts w:ascii="Arial" w:eastAsia="Times New Roman" w:hAnsi="Arial" w:cs="Arial"/>
          <w:sz w:val="18"/>
          <w:szCs w:val="18"/>
          <w:lang w:val="es-ES" w:eastAsia="es-ES"/>
        </w:rPr>
        <w:t xml:space="preserve">procurando siempre una atención eficiente, </w:t>
      </w:r>
      <w:r w:rsidR="00B86E68">
        <w:rPr>
          <w:rFonts w:ascii="Arial" w:eastAsia="Times New Roman" w:hAnsi="Arial" w:cs="Arial"/>
          <w:sz w:val="18"/>
          <w:szCs w:val="18"/>
          <w:lang w:val="es-ES" w:eastAsia="es-ES"/>
        </w:rPr>
        <w:t>de</w:t>
      </w:r>
      <w:r w:rsidRPr="001F011E">
        <w:rPr>
          <w:rFonts w:ascii="Arial" w:eastAsia="Times New Roman" w:hAnsi="Arial" w:cs="Arial"/>
          <w:sz w:val="18"/>
          <w:szCs w:val="18"/>
          <w:lang w:val="es-ES" w:eastAsia="es-ES"/>
        </w:rPr>
        <w:t xml:space="preserve"> calidad y oportuna a toda la ciudadanía Tlaxcalteca.</w:t>
      </w:r>
    </w:p>
    <w:p w14:paraId="620EFA15" w14:textId="77777777" w:rsidR="00AC7F8A" w:rsidRPr="001F011E" w:rsidRDefault="00AC7F8A" w:rsidP="00AC7F8A">
      <w:pPr>
        <w:tabs>
          <w:tab w:val="left" w:pos="284"/>
        </w:tabs>
        <w:spacing w:after="0"/>
        <w:ind w:left="284"/>
        <w:jc w:val="both"/>
        <w:rPr>
          <w:rFonts w:ascii="Arial" w:eastAsia="Times New Roman" w:hAnsi="Arial" w:cs="Arial"/>
          <w:sz w:val="18"/>
          <w:szCs w:val="18"/>
          <w:lang w:val="es-ES" w:eastAsia="es-ES"/>
        </w:rPr>
      </w:pPr>
      <w:r w:rsidRPr="001F011E">
        <w:rPr>
          <w:rFonts w:ascii="Arial" w:eastAsia="Times New Roman" w:hAnsi="Arial" w:cs="Arial"/>
          <w:sz w:val="18"/>
          <w:szCs w:val="18"/>
          <w:lang w:val="es-ES" w:eastAsia="es-ES"/>
        </w:rPr>
        <w:t>La normativa financiera y contable adoptada, proporciona los elementos necesarios para el manejo transparente de los recursos públicos, la información generada se caracteriza por su consistencia, integridad y congruencia con las disposiciones legales vigentes.</w:t>
      </w:r>
    </w:p>
    <w:p w14:paraId="620EFA16" w14:textId="77777777" w:rsidR="00AC7F8A" w:rsidRDefault="00AC7F8A" w:rsidP="00AC7F8A">
      <w:pPr>
        <w:pStyle w:val="Texto"/>
        <w:spacing w:after="0" w:line="240" w:lineRule="exact"/>
        <w:rPr>
          <w:szCs w:val="18"/>
        </w:rPr>
      </w:pPr>
    </w:p>
    <w:p w14:paraId="620EFA17" w14:textId="77777777" w:rsidR="00AC7F8A" w:rsidRPr="00630DB0" w:rsidRDefault="00AC7F8A" w:rsidP="00AC7F8A">
      <w:pPr>
        <w:pStyle w:val="Texto"/>
        <w:spacing w:after="0" w:line="240" w:lineRule="exact"/>
        <w:rPr>
          <w:b/>
          <w:szCs w:val="18"/>
          <w:lang w:val="es-MX"/>
        </w:rPr>
      </w:pPr>
      <w:r w:rsidRPr="00630DB0">
        <w:rPr>
          <w:b/>
          <w:szCs w:val="18"/>
          <w:lang w:val="es-MX"/>
        </w:rPr>
        <w:t>Panorama Económico y Financiero</w:t>
      </w:r>
    </w:p>
    <w:p w14:paraId="620EFA18" w14:textId="5CD85C34" w:rsidR="00AC7F8A" w:rsidRPr="00630DB0" w:rsidRDefault="00AC7F8A" w:rsidP="00AC7F8A">
      <w:pPr>
        <w:pStyle w:val="Texto"/>
        <w:spacing w:after="0" w:line="240" w:lineRule="exact"/>
        <w:ind w:left="284" w:firstLine="4"/>
        <w:rPr>
          <w:szCs w:val="18"/>
        </w:rPr>
      </w:pPr>
      <w:r w:rsidRPr="00630DB0">
        <w:rPr>
          <w:szCs w:val="18"/>
        </w:rPr>
        <w:t xml:space="preserve">Las condiciones Económico – Financieras con las que opera el O.P.D. Salud de Tlaxcala para el cumplimiento del objeto por el cual fue creado son adecuados, en virtud de que </w:t>
      </w:r>
      <w:r w:rsidR="00273C91">
        <w:rPr>
          <w:szCs w:val="18"/>
        </w:rPr>
        <w:t>la principal fuente de financiamiento de los</w:t>
      </w:r>
      <w:r w:rsidR="00273C91" w:rsidRPr="00630DB0">
        <w:rPr>
          <w:szCs w:val="18"/>
        </w:rPr>
        <w:t xml:space="preserve"> recursos destinados para su operación es</w:t>
      </w:r>
      <w:r w:rsidRPr="00630DB0">
        <w:rPr>
          <w:szCs w:val="18"/>
        </w:rPr>
        <w:t xml:space="preserve"> de carácter federal</w:t>
      </w:r>
      <w:r w:rsidR="003966F6">
        <w:rPr>
          <w:szCs w:val="18"/>
        </w:rPr>
        <w:t>,</w:t>
      </w:r>
      <w:r w:rsidRPr="00630DB0">
        <w:rPr>
          <w:szCs w:val="18"/>
        </w:rPr>
        <w:t xml:space="preserve"> y </w:t>
      </w:r>
      <w:r w:rsidR="00273C91">
        <w:rPr>
          <w:szCs w:val="18"/>
        </w:rPr>
        <w:t>de manera complementaria</w:t>
      </w:r>
      <w:r w:rsidR="003966F6">
        <w:rPr>
          <w:szCs w:val="18"/>
        </w:rPr>
        <w:t xml:space="preserve"> los</w:t>
      </w:r>
      <w:r w:rsidRPr="00630DB0">
        <w:rPr>
          <w:szCs w:val="18"/>
        </w:rPr>
        <w:t xml:space="preserve"> </w:t>
      </w:r>
      <w:r w:rsidR="00273C91">
        <w:rPr>
          <w:szCs w:val="18"/>
        </w:rPr>
        <w:t>recursos recaudados en el estado</w:t>
      </w:r>
      <w:r w:rsidRPr="00630DB0">
        <w:rPr>
          <w:szCs w:val="18"/>
        </w:rPr>
        <w:t xml:space="preserve">. Los recursos destinados a esta entidad se ejercen conforme se generan las necesidades inherentes a la entidad, aunado a la planeación del presupuesto que se tiene establecido en los distintos programas que integran la estructura de los servicios de salud y administrativos. Los recursos destinados a cada programa de salud están encaminados a las metas e indicadores establecidos a nivel central, situación que se puede corroborar al verificar el cumplimiento de </w:t>
      </w:r>
      <w:r w:rsidR="00112900" w:rsidRPr="00630DB0">
        <w:rPr>
          <w:szCs w:val="18"/>
        </w:rPr>
        <w:t>estos</w:t>
      </w:r>
      <w:r w:rsidRPr="00630DB0">
        <w:rPr>
          <w:szCs w:val="18"/>
        </w:rPr>
        <w:t xml:space="preserve">; el impacto y destino </w:t>
      </w:r>
      <w:r>
        <w:rPr>
          <w:szCs w:val="18"/>
        </w:rPr>
        <w:t xml:space="preserve">de los </w:t>
      </w:r>
      <w:r w:rsidRPr="00630DB0">
        <w:rPr>
          <w:szCs w:val="18"/>
        </w:rPr>
        <w:t>recurso</w:t>
      </w:r>
      <w:r>
        <w:rPr>
          <w:szCs w:val="18"/>
        </w:rPr>
        <w:t>s</w:t>
      </w:r>
      <w:r w:rsidRPr="00630DB0">
        <w:rPr>
          <w:szCs w:val="18"/>
        </w:rPr>
        <w:t xml:space="preserve"> se ve reflejado</w:t>
      </w:r>
      <w:r>
        <w:rPr>
          <w:szCs w:val="18"/>
        </w:rPr>
        <w:t>s</w:t>
      </w:r>
      <w:r w:rsidRPr="00630DB0">
        <w:rPr>
          <w:szCs w:val="18"/>
        </w:rPr>
        <w:t xml:space="preserve"> en beneficio de la población Tlaxcalteca.</w:t>
      </w:r>
    </w:p>
    <w:p w14:paraId="620EFA19" w14:textId="77777777" w:rsidR="00AC7F8A" w:rsidRPr="00630DB0" w:rsidRDefault="00AC7F8A" w:rsidP="00AC7F8A">
      <w:pPr>
        <w:pStyle w:val="Texto"/>
        <w:spacing w:after="0" w:line="240" w:lineRule="exact"/>
        <w:rPr>
          <w:szCs w:val="18"/>
        </w:rPr>
      </w:pPr>
    </w:p>
    <w:p w14:paraId="620EFA1A" w14:textId="77777777" w:rsidR="00AC7F8A" w:rsidRPr="00630DB0" w:rsidRDefault="00AC7F8A" w:rsidP="00AC7F8A">
      <w:pPr>
        <w:pStyle w:val="Texto"/>
        <w:spacing w:after="0" w:line="240" w:lineRule="exact"/>
        <w:rPr>
          <w:b/>
          <w:szCs w:val="18"/>
          <w:lang w:val="es-MX"/>
        </w:rPr>
      </w:pPr>
      <w:r w:rsidRPr="00630DB0">
        <w:rPr>
          <w:b/>
          <w:szCs w:val="18"/>
          <w:lang w:val="es-MX"/>
        </w:rPr>
        <w:t>Autorización e Historia</w:t>
      </w:r>
    </w:p>
    <w:p w14:paraId="620EFA1B" w14:textId="73561466" w:rsidR="00AC7F8A" w:rsidRPr="00630DB0" w:rsidRDefault="00AC7F8A" w:rsidP="00AC7F8A">
      <w:pPr>
        <w:pStyle w:val="Texto"/>
        <w:spacing w:after="0" w:line="240" w:lineRule="exact"/>
        <w:ind w:left="284" w:firstLine="4"/>
        <w:rPr>
          <w:szCs w:val="18"/>
        </w:rPr>
      </w:pPr>
      <w:r w:rsidRPr="00630DB0">
        <w:rPr>
          <w:szCs w:val="18"/>
        </w:rPr>
        <w:t>Salud de Tlaxcala fue creada como un Organismo Público Descentralizado mediante Decreto publicado en el Periódico Oficial del Estado de Tlaxcala el 05 de noviembre de 1996</w:t>
      </w:r>
      <w:r w:rsidR="003966F6">
        <w:rPr>
          <w:szCs w:val="18"/>
        </w:rPr>
        <w:t>,</w:t>
      </w:r>
      <w:r w:rsidRPr="00630DB0">
        <w:rPr>
          <w:szCs w:val="18"/>
        </w:rPr>
        <w:t xml:space="preserve"> el cual fue derogado por la Ley de Salud del Estado de Tlaxcala de fecha 10 de noviembre del 2000 y que a la fecha se encuentra vigente.</w:t>
      </w:r>
    </w:p>
    <w:p w14:paraId="620EFA1C" w14:textId="77777777" w:rsidR="00AC7F8A" w:rsidRPr="00630DB0" w:rsidRDefault="00AC7F8A" w:rsidP="00AC7F8A">
      <w:pPr>
        <w:pStyle w:val="INCISO"/>
        <w:spacing w:after="0" w:line="240" w:lineRule="exact"/>
      </w:pPr>
    </w:p>
    <w:p w14:paraId="620EFA1D" w14:textId="77777777" w:rsidR="00AC7F8A" w:rsidRPr="00630DB0" w:rsidRDefault="00AC7F8A" w:rsidP="00AC7F8A">
      <w:pPr>
        <w:pStyle w:val="Texto"/>
        <w:spacing w:after="0" w:line="240" w:lineRule="exact"/>
        <w:rPr>
          <w:b/>
          <w:szCs w:val="18"/>
          <w:lang w:val="es-MX"/>
        </w:rPr>
      </w:pPr>
      <w:r w:rsidRPr="00630DB0">
        <w:rPr>
          <w:b/>
          <w:szCs w:val="18"/>
          <w:lang w:val="es-MX"/>
        </w:rPr>
        <w:t>Organización y Objeto Social</w:t>
      </w:r>
    </w:p>
    <w:p w14:paraId="620EFA1E" w14:textId="21F7D29E" w:rsidR="00AC7F8A" w:rsidRDefault="00AC7F8A" w:rsidP="00AC7F8A">
      <w:pPr>
        <w:pStyle w:val="Texto"/>
        <w:spacing w:after="0" w:line="240" w:lineRule="exact"/>
        <w:ind w:left="288" w:firstLine="0"/>
        <w:rPr>
          <w:szCs w:val="18"/>
        </w:rPr>
      </w:pPr>
      <w:r w:rsidRPr="00B22AAD">
        <w:rPr>
          <w:b/>
          <w:szCs w:val="18"/>
        </w:rPr>
        <w:t>Salud de Tlaxcala</w:t>
      </w:r>
      <w:r w:rsidRPr="00C53075">
        <w:rPr>
          <w:szCs w:val="18"/>
        </w:rPr>
        <w:t xml:space="preserve"> es un Organismo Público Descentralizado encarga</w:t>
      </w:r>
      <w:r>
        <w:rPr>
          <w:szCs w:val="18"/>
        </w:rPr>
        <w:t>do</w:t>
      </w:r>
      <w:r w:rsidRPr="00C53075">
        <w:rPr>
          <w:szCs w:val="18"/>
        </w:rPr>
        <w:t xml:space="preserve"> de </w:t>
      </w:r>
      <w:r>
        <w:rPr>
          <w:szCs w:val="18"/>
        </w:rPr>
        <w:t>p</w:t>
      </w:r>
      <w:r w:rsidRPr="00C53075">
        <w:rPr>
          <w:szCs w:val="18"/>
        </w:rPr>
        <w:t xml:space="preserve">romover la </w:t>
      </w:r>
      <w:r>
        <w:rPr>
          <w:szCs w:val="18"/>
        </w:rPr>
        <w:t>s</w:t>
      </w:r>
      <w:r w:rsidRPr="00C53075">
        <w:rPr>
          <w:szCs w:val="18"/>
        </w:rPr>
        <w:t xml:space="preserve">alud, </w:t>
      </w:r>
      <w:r>
        <w:rPr>
          <w:szCs w:val="18"/>
        </w:rPr>
        <w:t>p</w:t>
      </w:r>
      <w:r w:rsidRPr="00C53075">
        <w:rPr>
          <w:szCs w:val="18"/>
        </w:rPr>
        <w:t>revenir y atender enfermedad</w:t>
      </w:r>
      <w:r>
        <w:rPr>
          <w:szCs w:val="18"/>
        </w:rPr>
        <w:t>es</w:t>
      </w:r>
      <w:r w:rsidRPr="00C53075">
        <w:rPr>
          <w:szCs w:val="18"/>
        </w:rPr>
        <w:t xml:space="preserve"> </w:t>
      </w:r>
      <w:r>
        <w:rPr>
          <w:szCs w:val="18"/>
        </w:rPr>
        <w:t>a través</w:t>
      </w:r>
      <w:r w:rsidRPr="00C53075">
        <w:rPr>
          <w:szCs w:val="18"/>
        </w:rPr>
        <w:t xml:space="preserve"> de </w:t>
      </w:r>
      <w:r>
        <w:rPr>
          <w:szCs w:val="18"/>
        </w:rPr>
        <w:t>m</w:t>
      </w:r>
      <w:r w:rsidRPr="00C53075">
        <w:rPr>
          <w:szCs w:val="18"/>
        </w:rPr>
        <w:t xml:space="preserve">edicina </w:t>
      </w:r>
      <w:r>
        <w:rPr>
          <w:szCs w:val="18"/>
        </w:rPr>
        <w:t>p</w:t>
      </w:r>
      <w:r w:rsidRPr="00C53075">
        <w:rPr>
          <w:szCs w:val="18"/>
        </w:rPr>
        <w:t xml:space="preserve">reventiva, </w:t>
      </w:r>
      <w:r>
        <w:rPr>
          <w:szCs w:val="18"/>
        </w:rPr>
        <w:t>m</w:t>
      </w:r>
      <w:r w:rsidRPr="00C53075">
        <w:rPr>
          <w:szCs w:val="18"/>
        </w:rPr>
        <w:t xml:space="preserve">edicina </w:t>
      </w:r>
      <w:r>
        <w:rPr>
          <w:szCs w:val="18"/>
        </w:rPr>
        <w:t>g</w:t>
      </w:r>
      <w:r w:rsidRPr="00C53075">
        <w:rPr>
          <w:szCs w:val="18"/>
        </w:rPr>
        <w:t xml:space="preserve">eneral y </w:t>
      </w:r>
      <w:r>
        <w:rPr>
          <w:szCs w:val="18"/>
        </w:rPr>
        <w:t>d</w:t>
      </w:r>
      <w:r w:rsidRPr="00C53075">
        <w:rPr>
          <w:szCs w:val="18"/>
        </w:rPr>
        <w:t xml:space="preserve">iferentes </w:t>
      </w:r>
      <w:r>
        <w:rPr>
          <w:szCs w:val="18"/>
        </w:rPr>
        <w:t>e</w:t>
      </w:r>
      <w:r w:rsidRPr="00C53075">
        <w:rPr>
          <w:szCs w:val="18"/>
        </w:rPr>
        <w:t xml:space="preserve">specialidades, </w:t>
      </w:r>
      <w:r>
        <w:rPr>
          <w:szCs w:val="18"/>
        </w:rPr>
        <w:t xml:space="preserve">procurando </w:t>
      </w:r>
      <w:r w:rsidRPr="00C53075">
        <w:rPr>
          <w:szCs w:val="18"/>
        </w:rPr>
        <w:t xml:space="preserve">siempre una atención </w:t>
      </w:r>
      <w:r>
        <w:rPr>
          <w:szCs w:val="18"/>
        </w:rPr>
        <w:t>e</w:t>
      </w:r>
      <w:r w:rsidRPr="00C53075">
        <w:rPr>
          <w:szCs w:val="18"/>
        </w:rPr>
        <w:t xml:space="preserve">ficiente, </w:t>
      </w:r>
      <w:r w:rsidR="00B86E68">
        <w:rPr>
          <w:szCs w:val="18"/>
        </w:rPr>
        <w:t>de</w:t>
      </w:r>
      <w:r w:rsidRPr="00C53075">
        <w:rPr>
          <w:szCs w:val="18"/>
        </w:rPr>
        <w:t xml:space="preserve"> </w:t>
      </w:r>
      <w:r>
        <w:rPr>
          <w:szCs w:val="18"/>
        </w:rPr>
        <w:t>c</w:t>
      </w:r>
      <w:r w:rsidRPr="00C53075">
        <w:rPr>
          <w:szCs w:val="18"/>
        </w:rPr>
        <w:t xml:space="preserve">alidad y </w:t>
      </w:r>
      <w:r>
        <w:rPr>
          <w:szCs w:val="18"/>
        </w:rPr>
        <w:t>o</w:t>
      </w:r>
      <w:r w:rsidRPr="00C53075">
        <w:rPr>
          <w:szCs w:val="18"/>
        </w:rPr>
        <w:t xml:space="preserve">portuna, para </w:t>
      </w:r>
      <w:r>
        <w:rPr>
          <w:szCs w:val="18"/>
        </w:rPr>
        <w:t xml:space="preserve">el </w:t>
      </w:r>
      <w:r w:rsidRPr="00C53075">
        <w:rPr>
          <w:szCs w:val="18"/>
        </w:rPr>
        <w:t xml:space="preserve">cuidado de </w:t>
      </w:r>
      <w:r>
        <w:rPr>
          <w:szCs w:val="18"/>
        </w:rPr>
        <w:t>la c</w:t>
      </w:r>
      <w:r w:rsidRPr="00C53075">
        <w:rPr>
          <w:szCs w:val="18"/>
        </w:rPr>
        <w:t xml:space="preserve">iudadanía </w:t>
      </w:r>
      <w:r>
        <w:rPr>
          <w:szCs w:val="18"/>
        </w:rPr>
        <w:t>t</w:t>
      </w:r>
      <w:r w:rsidRPr="00C53075">
        <w:rPr>
          <w:szCs w:val="18"/>
        </w:rPr>
        <w:t>laxcalteca.</w:t>
      </w:r>
    </w:p>
    <w:p w14:paraId="620EFA1F" w14:textId="77777777" w:rsidR="00AC7F8A" w:rsidRDefault="00AC7F8A" w:rsidP="00AC7F8A">
      <w:pPr>
        <w:pStyle w:val="Texto"/>
        <w:spacing w:after="0" w:line="240" w:lineRule="exact"/>
        <w:ind w:firstLine="0"/>
        <w:rPr>
          <w:szCs w:val="18"/>
        </w:rPr>
      </w:pPr>
    </w:p>
    <w:p w14:paraId="620EFA20" w14:textId="1CD89F8B" w:rsidR="00AC7F8A" w:rsidRPr="00C53075" w:rsidRDefault="00AC7F8A" w:rsidP="00AC7F8A">
      <w:pPr>
        <w:pStyle w:val="Texto"/>
        <w:spacing w:after="0" w:line="240" w:lineRule="exact"/>
        <w:rPr>
          <w:szCs w:val="18"/>
        </w:rPr>
      </w:pPr>
      <w:r w:rsidRPr="00C53075">
        <w:rPr>
          <w:szCs w:val="18"/>
        </w:rPr>
        <w:t xml:space="preserve">El </w:t>
      </w:r>
      <w:r w:rsidR="00B86E68">
        <w:rPr>
          <w:szCs w:val="18"/>
        </w:rPr>
        <w:t>periodo</w:t>
      </w:r>
      <w:r w:rsidRPr="00C53075">
        <w:rPr>
          <w:szCs w:val="18"/>
        </w:rPr>
        <w:t xml:space="preserve"> que comprende </w:t>
      </w:r>
      <w:r w:rsidR="00897E2F">
        <w:rPr>
          <w:szCs w:val="18"/>
        </w:rPr>
        <w:t>esta</w:t>
      </w:r>
      <w:r w:rsidRPr="00C53075">
        <w:rPr>
          <w:szCs w:val="18"/>
        </w:rPr>
        <w:t xml:space="preserve"> cuenta pública </w:t>
      </w:r>
      <w:r w:rsidR="00B86E68">
        <w:rPr>
          <w:szCs w:val="18"/>
        </w:rPr>
        <w:t>es del</w:t>
      </w:r>
      <w:r w:rsidRPr="00C53075">
        <w:rPr>
          <w:szCs w:val="18"/>
        </w:rPr>
        <w:t xml:space="preserve"> 01 de enero al </w:t>
      </w:r>
      <w:r w:rsidR="00F2754B">
        <w:rPr>
          <w:szCs w:val="18"/>
        </w:rPr>
        <w:t>31</w:t>
      </w:r>
      <w:r w:rsidRPr="00C53075">
        <w:rPr>
          <w:szCs w:val="18"/>
        </w:rPr>
        <w:t xml:space="preserve"> de </w:t>
      </w:r>
      <w:r w:rsidR="00F2754B">
        <w:rPr>
          <w:szCs w:val="18"/>
        </w:rPr>
        <w:t>diciembre</w:t>
      </w:r>
      <w:r w:rsidR="00897E2F">
        <w:rPr>
          <w:szCs w:val="18"/>
        </w:rPr>
        <w:t xml:space="preserve"> de 2020</w:t>
      </w:r>
      <w:r w:rsidRPr="00C53075">
        <w:rPr>
          <w:szCs w:val="18"/>
        </w:rPr>
        <w:t>.</w:t>
      </w:r>
    </w:p>
    <w:p w14:paraId="620EFA21" w14:textId="77777777" w:rsidR="00AC7F8A" w:rsidRPr="00C53075" w:rsidRDefault="00AC7F8A" w:rsidP="00AC7F8A">
      <w:pPr>
        <w:pStyle w:val="Texto"/>
        <w:spacing w:after="0" w:line="240" w:lineRule="exact"/>
        <w:rPr>
          <w:szCs w:val="18"/>
        </w:rPr>
      </w:pPr>
      <w:r w:rsidRPr="00C53075">
        <w:rPr>
          <w:szCs w:val="18"/>
        </w:rPr>
        <w:t>Salud de Tlaxcala está constituida como un Organismo Público Descentralizado del Gobierno del Estado de Tlaxcala.</w:t>
      </w:r>
    </w:p>
    <w:p w14:paraId="620EFA22" w14:textId="77777777" w:rsidR="00AC7F8A" w:rsidRPr="00C53075" w:rsidRDefault="00AC7F8A" w:rsidP="00AC7F8A">
      <w:pPr>
        <w:pStyle w:val="Texto"/>
        <w:spacing w:after="0" w:line="240" w:lineRule="exact"/>
        <w:rPr>
          <w:szCs w:val="18"/>
        </w:rPr>
      </w:pPr>
      <w:r w:rsidRPr="00C53075">
        <w:rPr>
          <w:szCs w:val="18"/>
        </w:rPr>
        <w:t>Fiscalmente tiene las siguientes obligaciones</w:t>
      </w:r>
    </w:p>
    <w:p w14:paraId="620EFA23" w14:textId="77777777" w:rsidR="00AC7F8A" w:rsidRPr="00C53075" w:rsidRDefault="00AC7F8A" w:rsidP="00AC7F8A">
      <w:pPr>
        <w:pStyle w:val="Texto"/>
        <w:numPr>
          <w:ilvl w:val="1"/>
          <w:numId w:val="7"/>
        </w:numPr>
        <w:spacing w:after="0" w:line="240" w:lineRule="exact"/>
        <w:rPr>
          <w:szCs w:val="18"/>
        </w:rPr>
      </w:pPr>
      <w:r w:rsidRPr="00C53075">
        <w:rPr>
          <w:szCs w:val="18"/>
        </w:rPr>
        <w:t>Entero de retención de ISR por servicios profesionales.</w:t>
      </w:r>
    </w:p>
    <w:p w14:paraId="620EFA24" w14:textId="77777777" w:rsidR="00AC7F8A" w:rsidRPr="00C53075" w:rsidRDefault="00AC7F8A" w:rsidP="00AC7F8A">
      <w:pPr>
        <w:pStyle w:val="Texto"/>
        <w:numPr>
          <w:ilvl w:val="1"/>
          <w:numId w:val="7"/>
        </w:numPr>
        <w:spacing w:after="0" w:line="240" w:lineRule="exact"/>
        <w:rPr>
          <w:szCs w:val="18"/>
        </w:rPr>
      </w:pPr>
      <w:r w:rsidRPr="00C53075">
        <w:rPr>
          <w:szCs w:val="18"/>
        </w:rPr>
        <w:t>Declaración informativa anual de pagos y retenciones de servicios profesionales. Personas Morales. Impuesto Sobre la Renta.</w:t>
      </w:r>
    </w:p>
    <w:p w14:paraId="620EFA25" w14:textId="77777777" w:rsidR="00AC7F8A" w:rsidRPr="00C53075" w:rsidRDefault="00AC7F8A" w:rsidP="00AC7F8A">
      <w:pPr>
        <w:pStyle w:val="Texto"/>
        <w:numPr>
          <w:ilvl w:val="1"/>
          <w:numId w:val="7"/>
        </w:numPr>
        <w:spacing w:after="0" w:line="240" w:lineRule="exact"/>
        <w:rPr>
          <w:szCs w:val="18"/>
        </w:rPr>
      </w:pPr>
      <w:r w:rsidRPr="00C53075">
        <w:rPr>
          <w:szCs w:val="18"/>
        </w:rPr>
        <w:t>Entero mensual de retenciones de ISR de ingresos por arrendamiento.</w:t>
      </w:r>
    </w:p>
    <w:p w14:paraId="620EFA26" w14:textId="77777777" w:rsidR="00AC7F8A" w:rsidRPr="00C53075" w:rsidRDefault="00AC7F8A" w:rsidP="00AC7F8A">
      <w:pPr>
        <w:pStyle w:val="Texto"/>
        <w:numPr>
          <w:ilvl w:val="1"/>
          <w:numId w:val="7"/>
        </w:numPr>
        <w:spacing w:after="0" w:line="240" w:lineRule="exact"/>
        <w:rPr>
          <w:szCs w:val="18"/>
        </w:rPr>
      </w:pPr>
      <w:r w:rsidRPr="00C53075">
        <w:rPr>
          <w:szCs w:val="18"/>
        </w:rPr>
        <w:t>Entero de retenciones mensuales de ISR por sueldos y salarios.</w:t>
      </w:r>
    </w:p>
    <w:p w14:paraId="620EFA27" w14:textId="77777777" w:rsidR="00AC7F8A" w:rsidRPr="00C53075" w:rsidRDefault="00AC7F8A" w:rsidP="00AC7F8A">
      <w:pPr>
        <w:pStyle w:val="Texto"/>
        <w:numPr>
          <w:ilvl w:val="1"/>
          <w:numId w:val="7"/>
        </w:numPr>
        <w:spacing w:after="0" w:line="240" w:lineRule="exact"/>
        <w:rPr>
          <w:szCs w:val="18"/>
        </w:rPr>
      </w:pPr>
      <w:r w:rsidRPr="00C53075">
        <w:rPr>
          <w:szCs w:val="18"/>
        </w:rPr>
        <w:t xml:space="preserve">Declaración informativa anual de retenciones de ISR por arrendamiento de inmuebles. </w:t>
      </w:r>
    </w:p>
    <w:p w14:paraId="620EFA28" w14:textId="77777777" w:rsidR="00AC7F8A" w:rsidRPr="00C53075" w:rsidRDefault="00AC7F8A" w:rsidP="00AC7F8A">
      <w:pPr>
        <w:pStyle w:val="Texto"/>
        <w:numPr>
          <w:ilvl w:val="1"/>
          <w:numId w:val="7"/>
        </w:numPr>
        <w:spacing w:after="0" w:line="240" w:lineRule="exact"/>
        <w:rPr>
          <w:szCs w:val="18"/>
        </w:rPr>
      </w:pPr>
      <w:r w:rsidRPr="00C53075">
        <w:rPr>
          <w:szCs w:val="18"/>
        </w:rPr>
        <w:t xml:space="preserve">Entero de retenciones mensuales de ISR por ingresos asimilados a salarios. </w:t>
      </w:r>
    </w:p>
    <w:p w14:paraId="620EFA29" w14:textId="77777777" w:rsidR="00AC7F8A" w:rsidRDefault="00AC7F8A" w:rsidP="00AC7F8A">
      <w:pPr>
        <w:pStyle w:val="Texto"/>
        <w:spacing w:after="0" w:line="240" w:lineRule="exact"/>
        <w:ind w:firstLine="708"/>
        <w:rPr>
          <w:szCs w:val="18"/>
        </w:rPr>
      </w:pPr>
    </w:p>
    <w:p w14:paraId="620EFA2A" w14:textId="77777777" w:rsidR="00AC7F8A" w:rsidRDefault="00AC7F8A" w:rsidP="00AC7F8A">
      <w:pPr>
        <w:pStyle w:val="Texto"/>
        <w:spacing w:after="0" w:line="240" w:lineRule="exact"/>
        <w:ind w:firstLine="708"/>
        <w:rPr>
          <w:szCs w:val="18"/>
        </w:rPr>
      </w:pPr>
    </w:p>
    <w:p w14:paraId="620EFA2B" w14:textId="77777777" w:rsidR="00AC7F8A" w:rsidRDefault="00AC7F8A" w:rsidP="00AC7F8A">
      <w:pPr>
        <w:pStyle w:val="Texto"/>
        <w:spacing w:after="0" w:line="240" w:lineRule="exact"/>
        <w:ind w:firstLine="708"/>
        <w:rPr>
          <w:szCs w:val="18"/>
        </w:rPr>
      </w:pPr>
    </w:p>
    <w:p w14:paraId="620EFA2C" w14:textId="77777777" w:rsidR="00AC7F8A" w:rsidRDefault="00AC7F8A" w:rsidP="00AC7F8A">
      <w:pPr>
        <w:pStyle w:val="INCISO"/>
        <w:spacing w:after="0" w:line="240" w:lineRule="exact"/>
        <w:ind w:left="284" w:firstLine="0"/>
      </w:pPr>
    </w:p>
    <w:p w14:paraId="620EFA2D" w14:textId="77777777" w:rsidR="00A0339D" w:rsidRDefault="00A0339D" w:rsidP="00AC7F8A">
      <w:pPr>
        <w:pStyle w:val="INCISO"/>
        <w:spacing w:after="0" w:line="240" w:lineRule="exact"/>
        <w:ind w:left="284" w:firstLine="0"/>
      </w:pPr>
    </w:p>
    <w:p w14:paraId="620EFA2E" w14:textId="77777777" w:rsidR="00AC7F8A" w:rsidRPr="00630DB0" w:rsidRDefault="00AC7F8A" w:rsidP="00AC7F8A">
      <w:pPr>
        <w:pStyle w:val="INCISO"/>
        <w:spacing w:after="0" w:line="240" w:lineRule="exact"/>
        <w:ind w:left="284" w:firstLine="0"/>
      </w:pPr>
      <w:r w:rsidRPr="00630DB0">
        <w:lastRenderedPageBreak/>
        <w:t>Estructura organizacional básica</w:t>
      </w:r>
    </w:p>
    <w:p w14:paraId="620EFA2F" w14:textId="77777777" w:rsidR="00AC7F8A" w:rsidRPr="00630DB0" w:rsidRDefault="00AC7F8A" w:rsidP="00AC7F8A">
      <w:pPr>
        <w:pStyle w:val="Texto"/>
        <w:spacing w:after="0" w:line="240" w:lineRule="exact"/>
        <w:ind w:firstLine="708"/>
        <w:rPr>
          <w:szCs w:val="18"/>
        </w:rPr>
      </w:pPr>
      <w:r>
        <w:rPr>
          <w:noProof/>
          <w:lang w:val="es-MX" w:eastAsia="es-MX"/>
        </w:rPr>
        <w:drawing>
          <wp:anchor distT="0" distB="0" distL="114300" distR="114300" simplePos="0" relativeHeight="251673600" behindDoc="0" locked="0" layoutInCell="1" allowOverlap="1" wp14:anchorId="620EFAA2" wp14:editId="620EFAA3">
            <wp:simplePos x="0" y="0"/>
            <wp:positionH relativeFrom="column">
              <wp:posOffset>266065</wp:posOffset>
            </wp:positionH>
            <wp:positionV relativeFrom="paragraph">
              <wp:posOffset>244475</wp:posOffset>
            </wp:positionV>
            <wp:extent cx="8548370" cy="5195570"/>
            <wp:effectExtent l="0" t="0" r="5080" b="508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48370" cy="5195570"/>
                    </a:xfrm>
                    <a:prstGeom prst="rect">
                      <a:avLst/>
                    </a:prstGeom>
                  </pic:spPr>
                </pic:pic>
              </a:graphicData>
            </a:graphic>
            <wp14:sizeRelH relativeFrom="page">
              <wp14:pctWidth>0</wp14:pctWidth>
            </wp14:sizeRelH>
            <wp14:sizeRelV relativeFrom="page">
              <wp14:pctHeight>0</wp14:pctHeight>
            </wp14:sizeRelV>
          </wp:anchor>
        </w:drawing>
      </w:r>
    </w:p>
    <w:p w14:paraId="620EFA30" w14:textId="77777777" w:rsidR="00AC7F8A" w:rsidRPr="00630DB0" w:rsidRDefault="00AC7F8A" w:rsidP="00AC7F8A">
      <w:pPr>
        <w:pStyle w:val="Texto"/>
        <w:spacing w:after="0" w:line="240" w:lineRule="exact"/>
        <w:ind w:firstLine="708"/>
        <w:rPr>
          <w:szCs w:val="18"/>
        </w:rPr>
      </w:pPr>
    </w:p>
    <w:p w14:paraId="620EFA31" w14:textId="77777777" w:rsidR="00AC7F8A" w:rsidRDefault="00AC7F8A" w:rsidP="00AC7F8A">
      <w:pPr>
        <w:pStyle w:val="INCISO"/>
        <w:spacing w:after="0" w:line="240" w:lineRule="exact"/>
      </w:pPr>
    </w:p>
    <w:p w14:paraId="620EFA32" w14:textId="77777777" w:rsidR="00AC7F8A" w:rsidRPr="00630DB0" w:rsidRDefault="00AC7F8A" w:rsidP="00AC7F8A">
      <w:pPr>
        <w:pStyle w:val="INCISO"/>
        <w:spacing w:after="0" w:line="240" w:lineRule="exact"/>
        <w:ind w:left="284" w:firstLine="0"/>
      </w:pPr>
      <w:r w:rsidRPr="00630DB0">
        <w:lastRenderedPageBreak/>
        <w:t>Salud de Tlaxcala no es fideicomitente o fiduciario de Fideicomisos, mandatos y análogos.</w:t>
      </w:r>
    </w:p>
    <w:p w14:paraId="620EFA33" w14:textId="77777777" w:rsidR="00AC7F8A" w:rsidRPr="00630DB0" w:rsidRDefault="00AC7F8A" w:rsidP="00AC7F8A">
      <w:pPr>
        <w:pStyle w:val="INCISO"/>
        <w:spacing w:after="0" w:line="240" w:lineRule="exact"/>
      </w:pPr>
    </w:p>
    <w:p w14:paraId="620EFA34" w14:textId="77777777" w:rsidR="00AC7F8A" w:rsidRDefault="00AC7F8A" w:rsidP="00AC7F8A">
      <w:pPr>
        <w:pStyle w:val="Texto"/>
        <w:spacing w:after="0" w:line="240" w:lineRule="exact"/>
        <w:rPr>
          <w:b/>
          <w:szCs w:val="18"/>
          <w:lang w:val="es-MX"/>
        </w:rPr>
      </w:pPr>
    </w:p>
    <w:p w14:paraId="620EFA35" w14:textId="77777777" w:rsidR="00AC7F8A" w:rsidRPr="00630DB0" w:rsidRDefault="00AC7F8A" w:rsidP="00AC7F8A">
      <w:pPr>
        <w:pStyle w:val="Texto"/>
        <w:spacing w:after="0" w:line="240" w:lineRule="exact"/>
        <w:rPr>
          <w:b/>
          <w:szCs w:val="18"/>
          <w:lang w:val="es-MX"/>
        </w:rPr>
      </w:pPr>
      <w:r w:rsidRPr="00630DB0">
        <w:rPr>
          <w:b/>
          <w:szCs w:val="18"/>
          <w:lang w:val="es-MX"/>
        </w:rPr>
        <w:t>Bases de Preparación de los Estados Financieros</w:t>
      </w:r>
    </w:p>
    <w:p w14:paraId="620EFA36" w14:textId="77777777" w:rsidR="00AC7F8A" w:rsidRPr="00C66A86" w:rsidRDefault="00AC7F8A" w:rsidP="00AC7F8A">
      <w:pPr>
        <w:spacing w:after="0" w:line="240" w:lineRule="auto"/>
        <w:ind w:left="284"/>
        <w:outlineLvl w:val="1"/>
        <w:rPr>
          <w:rFonts w:ascii="Arial" w:hAnsi="Arial" w:cs="Arial"/>
          <w:sz w:val="18"/>
          <w:szCs w:val="18"/>
        </w:rPr>
      </w:pPr>
      <w:r w:rsidRPr="00C66A86">
        <w:rPr>
          <w:rFonts w:ascii="Arial" w:hAnsi="Arial" w:cs="Arial"/>
          <w:sz w:val="18"/>
          <w:szCs w:val="18"/>
        </w:rPr>
        <w:t xml:space="preserve">Para la preparación de los presentes Estados Financieros se ha adoptado la normatividad emitida por el </w:t>
      </w:r>
      <w:r w:rsidRPr="00C66A86">
        <w:rPr>
          <w:rFonts w:ascii="Arial" w:eastAsia="Times New Roman" w:hAnsi="Arial" w:cs="Arial"/>
          <w:bCs/>
          <w:sz w:val="18"/>
          <w:szCs w:val="18"/>
          <w:lang w:val="es-ES" w:eastAsia="es-ES"/>
        </w:rPr>
        <w:t>Consejo Nacional de Armonización Contable (</w:t>
      </w:r>
      <w:r w:rsidRPr="00C66A86">
        <w:rPr>
          <w:rFonts w:ascii="Arial" w:hAnsi="Arial" w:cs="Arial"/>
          <w:sz w:val="18"/>
          <w:szCs w:val="18"/>
        </w:rPr>
        <w:t xml:space="preserve">CONAC) y las disposiciones legales aplicables. </w:t>
      </w:r>
    </w:p>
    <w:p w14:paraId="620EFA37" w14:textId="2D7457E5" w:rsidR="00AC7F8A" w:rsidRPr="00C66A86" w:rsidRDefault="00AC7F8A" w:rsidP="00AC7F8A">
      <w:pPr>
        <w:spacing w:after="0" w:line="240" w:lineRule="auto"/>
        <w:ind w:left="284"/>
        <w:outlineLvl w:val="1"/>
        <w:rPr>
          <w:rFonts w:ascii="Arial" w:hAnsi="Arial" w:cs="Arial"/>
          <w:sz w:val="18"/>
          <w:szCs w:val="18"/>
        </w:rPr>
      </w:pPr>
      <w:r w:rsidRPr="00C66A86">
        <w:rPr>
          <w:rFonts w:ascii="Arial" w:hAnsi="Arial" w:cs="Arial"/>
          <w:sz w:val="18"/>
          <w:szCs w:val="18"/>
        </w:rPr>
        <w:t xml:space="preserve">La normatividad aplicada para el reconocimiento, valuación y revelación de los diferentes rubros de la información financiera, así como las bases de medición utilizadas para la elaboración de los estados financieros corresponden a la normatividad emitida por el </w:t>
      </w:r>
      <w:r w:rsidRPr="00C66A86">
        <w:rPr>
          <w:rFonts w:ascii="Arial" w:eastAsia="Times New Roman" w:hAnsi="Arial" w:cs="Arial"/>
          <w:bCs/>
          <w:sz w:val="18"/>
          <w:szCs w:val="18"/>
          <w:lang w:val="es-ES" w:eastAsia="es-ES"/>
        </w:rPr>
        <w:t xml:space="preserve">Consejo Nacional de Armonización Contable </w:t>
      </w:r>
      <w:r>
        <w:rPr>
          <w:rFonts w:ascii="Arial" w:eastAsia="Times New Roman" w:hAnsi="Arial" w:cs="Arial"/>
          <w:bCs/>
          <w:sz w:val="18"/>
          <w:szCs w:val="18"/>
          <w:lang w:val="es-ES" w:eastAsia="es-ES"/>
        </w:rPr>
        <w:t>(</w:t>
      </w:r>
      <w:r w:rsidRPr="00C66A86">
        <w:rPr>
          <w:rFonts w:ascii="Arial" w:hAnsi="Arial" w:cs="Arial"/>
          <w:sz w:val="18"/>
          <w:szCs w:val="18"/>
        </w:rPr>
        <w:t>CONAC</w:t>
      </w:r>
      <w:r>
        <w:rPr>
          <w:rFonts w:ascii="Arial" w:hAnsi="Arial" w:cs="Arial"/>
          <w:sz w:val="18"/>
          <w:szCs w:val="18"/>
        </w:rPr>
        <w:t>)</w:t>
      </w:r>
      <w:r w:rsidR="00A30021">
        <w:rPr>
          <w:rFonts w:ascii="Arial" w:hAnsi="Arial" w:cs="Arial"/>
          <w:sz w:val="18"/>
          <w:szCs w:val="18"/>
        </w:rPr>
        <w:t>.</w:t>
      </w:r>
    </w:p>
    <w:p w14:paraId="620EFA38" w14:textId="77777777" w:rsidR="00AC7F8A" w:rsidRPr="00C66A86" w:rsidRDefault="00AC7F8A" w:rsidP="00AC7F8A">
      <w:pPr>
        <w:pStyle w:val="INCISO"/>
        <w:spacing w:after="0" w:line="240" w:lineRule="exact"/>
        <w:ind w:left="0" w:firstLine="284"/>
      </w:pPr>
      <w:r w:rsidRPr="00C66A86">
        <w:t>Los Postulados básicos considerados fueron:</w:t>
      </w:r>
    </w:p>
    <w:p w14:paraId="620EFA39" w14:textId="27933972" w:rsidR="00AC7F8A" w:rsidRPr="00C66A86" w:rsidRDefault="00AC7F8A" w:rsidP="00AC7F8A">
      <w:pPr>
        <w:pStyle w:val="INCISO"/>
        <w:spacing w:after="0" w:line="240" w:lineRule="exact"/>
        <w:ind w:left="709" w:firstLine="0"/>
      </w:pPr>
      <w:r w:rsidRPr="00C66A86">
        <w:t>1)</w:t>
      </w:r>
      <w:r>
        <w:t xml:space="preserve"> </w:t>
      </w:r>
      <w:r w:rsidRPr="00C66A86">
        <w:t>Sustancia Económica</w:t>
      </w:r>
      <w:r w:rsidR="003966F6">
        <w:t>.</w:t>
      </w:r>
    </w:p>
    <w:p w14:paraId="620EFA3A" w14:textId="560F9DE2" w:rsidR="00AC7F8A" w:rsidRPr="00C66A86" w:rsidRDefault="00AC7F8A" w:rsidP="00AC7F8A">
      <w:pPr>
        <w:pStyle w:val="INCISO"/>
        <w:spacing w:after="0" w:line="240" w:lineRule="exact"/>
        <w:ind w:left="709" w:firstLine="0"/>
      </w:pPr>
      <w:r w:rsidRPr="00C66A86">
        <w:t>2) Entes Públicos</w:t>
      </w:r>
      <w:r w:rsidR="003966F6">
        <w:t>.</w:t>
      </w:r>
    </w:p>
    <w:p w14:paraId="620EFA3B" w14:textId="3028CE47" w:rsidR="00AC7F8A" w:rsidRPr="00C66A86" w:rsidRDefault="00AC7F8A" w:rsidP="00AC7F8A">
      <w:pPr>
        <w:pStyle w:val="INCISO"/>
        <w:spacing w:after="0" w:line="240" w:lineRule="exact"/>
        <w:ind w:left="709" w:firstLine="0"/>
      </w:pPr>
      <w:r w:rsidRPr="00C66A86">
        <w:t>3) Existencia Permanente</w:t>
      </w:r>
      <w:r w:rsidR="003966F6">
        <w:t>.</w:t>
      </w:r>
    </w:p>
    <w:p w14:paraId="620EFA3C" w14:textId="287E5834" w:rsidR="00AC7F8A" w:rsidRPr="00C66A86" w:rsidRDefault="00AC7F8A" w:rsidP="00AC7F8A">
      <w:pPr>
        <w:pStyle w:val="INCISO"/>
        <w:spacing w:after="0" w:line="240" w:lineRule="exact"/>
        <w:ind w:left="709" w:firstLine="0"/>
      </w:pPr>
      <w:r w:rsidRPr="00C66A86">
        <w:t>4) Revelación Suficiente</w:t>
      </w:r>
      <w:r w:rsidR="003966F6">
        <w:t>.</w:t>
      </w:r>
    </w:p>
    <w:p w14:paraId="620EFA3D" w14:textId="120A97A3" w:rsidR="00AC7F8A" w:rsidRPr="00630DB0" w:rsidRDefault="00AC7F8A" w:rsidP="00AC7F8A">
      <w:pPr>
        <w:pStyle w:val="INCISO"/>
        <w:spacing w:after="0" w:line="240" w:lineRule="exact"/>
        <w:ind w:left="709" w:firstLine="0"/>
      </w:pPr>
      <w:r w:rsidRPr="00630DB0">
        <w:t>5) Importancia Relativa</w:t>
      </w:r>
      <w:r w:rsidR="003966F6">
        <w:t>.</w:t>
      </w:r>
    </w:p>
    <w:p w14:paraId="620EFA3E" w14:textId="3B680C66" w:rsidR="00AC7F8A" w:rsidRPr="00630DB0" w:rsidRDefault="00AC7F8A" w:rsidP="00AC7F8A">
      <w:pPr>
        <w:pStyle w:val="INCISO"/>
        <w:spacing w:after="0" w:line="240" w:lineRule="exact"/>
        <w:ind w:left="709" w:firstLine="0"/>
      </w:pPr>
      <w:r w:rsidRPr="00630DB0">
        <w:t>6) Registro e Integración Presupuestaria</w:t>
      </w:r>
      <w:r w:rsidR="003966F6">
        <w:t>.</w:t>
      </w:r>
    </w:p>
    <w:p w14:paraId="620EFA3F" w14:textId="21B08A23" w:rsidR="00AC7F8A" w:rsidRPr="00630DB0" w:rsidRDefault="00AC7F8A" w:rsidP="00AC7F8A">
      <w:pPr>
        <w:pStyle w:val="INCISO"/>
        <w:spacing w:after="0" w:line="240" w:lineRule="exact"/>
        <w:ind w:left="709" w:firstLine="0"/>
      </w:pPr>
      <w:r w:rsidRPr="00630DB0">
        <w:t>7) Consolidación de la Información Financiera</w:t>
      </w:r>
      <w:r w:rsidR="003966F6">
        <w:t>.</w:t>
      </w:r>
    </w:p>
    <w:p w14:paraId="620EFA40" w14:textId="0CB01578" w:rsidR="00AC7F8A" w:rsidRPr="00630DB0" w:rsidRDefault="00AC7F8A" w:rsidP="00AC7F8A">
      <w:pPr>
        <w:pStyle w:val="INCISO"/>
        <w:spacing w:after="0" w:line="240" w:lineRule="exact"/>
        <w:ind w:left="709" w:firstLine="0"/>
      </w:pPr>
      <w:r w:rsidRPr="00630DB0">
        <w:t>8) Devengo Contable</w:t>
      </w:r>
      <w:r w:rsidR="003966F6">
        <w:t>.</w:t>
      </w:r>
    </w:p>
    <w:p w14:paraId="620EFA41" w14:textId="5A344B46" w:rsidR="00AC7F8A" w:rsidRPr="00630DB0" w:rsidRDefault="00AC7F8A" w:rsidP="00AC7F8A">
      <w:pPr>
        <w:pStyle w:val="INCISO"/>
        <w:tabs>
          <w:tab w:val="left" w:pos="3450"/>
        </w:tabs>
        <w:spacing w:after="0" w:line="240" w:lineRule="exact"/>
        <w:ind w:left="709" w:firstLine="0"/>
      </w:pPr>
      <w:r w:rsidRPr="00630DB0">
        <w:t>9) Valuación</w:t>
      </w:r>
      <w:r w:rsidR="003966F6">
        <w:t>.</w:t>
      </w:r>
    </w:p>
    <w:p w14:paraId="620EFA42" w14:textId="23389C7D" w:rsidR="00AC7F8A" w:rsidRPr="00630DB0" w:rsidRDefault="00AC7F8A" w:rsidP="00AC7F8A">
      <w:pPr>
        <w:pStyle w:val="INCISO"/>
        <w:spacing w:after="0" w:line="240" w:lineRule="exact"/>
        <w:ind w:left="709" w:firstLine="0"/>
      </w:pPr>
      <w:r w:rsidRPr="00630DB0">
        <w:t>10) Dualidad Económica</w:t>
      </w:r>
      <w:r w:rsidR="003966F6">
        <w:t>.</w:t>
      </w:r>
    </w:p>
    <w:p w14:paraId="620EFA43" w14:textId="4DD83C01" w:rsidR="00AC7F8A" w:rsidRPr="00630DB0" w:rsidRDefault="00AC7F8A" w:rsidP="00AC7F8A">
      <w:pPr>
        <w:pStyle w:val="INCISO"/>
        <w:spacing w:after="0" w:line="240" w:lineRule="exact"/>
        <w:ind w:left="709" w:firstLine="0"/>
      </w:pPr>
      <w:r w:rsidRPr="00630DB0">
        <w:t>11) Consistencia</w:t>
      </w:r>
      <w:r w:rsidR="003966F6">
        <w:t>.</w:t>
      </w:r>
    </w:p>
    <w:p w14:paraId="620EFA44" w14:textId="7B82CEF9" w:rsidR="00AC7F8A" w:rsidRPr="00630DB0" w:rsidRDefault="00AC7F8A" w:rsidP="00AC7F8A">
      <w:pPr>
        <w:pStyle w:val="INCISO"/>
        <w:spacing w:after="0" w:line="240" w:lineRule="exact"/>
        <w:ind w:left="284" w:firstLine="0"/>
      </w:pPr>
      <w:r w:rsidRPr="00630DB0">
        <w:t>Para la preparación de los Estados Financieros no se ocupó normatividad supletoria</w:t>
      </w:r>
      <w:r w:rsidR="003966F6">
        <w:t>.</w:t>
      </w:r>
    </w:p>
    <w:p w14:paraId="620EFA45" w14:textId="77777777" w:rsidR="00AC7F8A" w:rsidRPr="00630DB0" w:rsidRDefault="00AC7F8A" w:rsidP="00AC7F8A">
      <w:pPr>
        <w:pStyle w:val="Texto"/>
        <w:spacing w:after="0" w:line="240" w:lineRule="exact"/>
        <w:ind w:left="1440" w:hanging="360"/>
        <w:rPr>
          <w:szCs w:val="18"/>
        </w:rPr>
      </w:pPr>
    </w:p>
    <w:p w14:paraId="620EFA46" w14:textId="77777777" w:rsidR="00AC7F8A" w:rsidRPr="00630DB0" w:rsidRDefault="00AC7F8A" w:rsidP="00AC7F8A">
      <w:pPr>
        <w:pStyle w:val="Texto"/>
        <w:spacing w:after="0" w:line="240" w:lineRule="exact"/>
        <w:rPr>
          <w:b/>
          <w:szCs w:val="18"/>
          <w:lang w:val="es-MX"/>
        </w:rPr>
      </w:pPr>
      <w:r w:rsidRPr="00630DB0">
        <w:rPr>
          <w:b/>
          <w:szCs w:val="18"/>
          <w:lang w:val="es-MX"/>
        </w:rPr>
        <w:t>Políticas de Contabilidad Significativas</w:t>
      </w:r>
    </w:p>
    <w:p w14:paraId="620EFA47" w14:textId="165D57EB" w:rsidR="00AC7F8A" w:rsidRPr="00630DB0" w:rsidRDefault="00AC7F8A" w:rsidP="00AC7F8A">
      <w:pPr>
        <w:pStyle w:val="Texto"/>
        <w:spacing w:after="0" w:line="240" w:lineRule="exact"/>
        <w:rPr>
          <w:szCs w:val="18"/>
        </w:rPr>
      </w:pPr>
    </w:p>
    <w:p w14:paraId="620EFA48" w14:textId="68593ABB" w:rsidR="00AC7F8A" w:rsidRPr="00630DB0" w:rsidRDefault="00AC7F8A" w:rsidP="00AC7F8A">
      <w:pPr>
        <w:pStyle w:val="INCISO"/>
        <w:spacing w:after="0" w:line="240" w:lineRule="exact"/>
      </w:pPr>
      <w:r w:rsidRPr="00630DB0">
        <w:t>a)</w:t>
      </w:r>
      <w:r w:rsidRPr="00630DB0">
        <w:tab/>
      </w:r>
      <w:r w:rsidRPr="001B03C7">
        <w:t>El valor de los bienes muebles del ejercicio 2015 y anteriores se encuentran conforme al valor asignado por valuación</w:t>
      </w:r>
      <w:r w:rsidR="002E5ED2">
        <w:t xml:space="preserve"> efectuada durante el</w:t>
      </w:r>
      <w:r w:rsidR="003966F6">
        <w:t xml:space="preserve"> mismo</w:t>
      </w:r>
      <w:r w:rsidR="002E5ED2">
        <w:t xml:space="preserve"> ejercicio</w:t>
      </w:r>
      <w:r w:rsidRPr="001B03C7">
        <w:t>, los</w:t>
      </w:r>
      <w:r w:rsidR="002E5ED2">
        <w:t xml:space="preserve"> bienes muebles</w:t>
      </w:r>
      <w:r w:rsidRPr="001B03C7">
        <w:t xml:space="preserve"> adquiridos en </w:t>
      </w:r>
      <w:r w:rsidR="002E5ED2">
        <w:t>los ejercicios posteriores serán registrados</w:t>
      </w:r>
      <w:r w:rsidRPr="001B03C7">
        <w:t xml:space="preserve"> a valor histórico; el valor de los edificios no habitacionales se encuentra valuado al 30 de junio de 2016 y las obras que</w:t>
      </w:r>
      <w:r>
        <w:t xml:space="preserve"> se concluyan después de esta fecha serán reconocidas al valor de construcción.</w:t>
      </w:r>
    </w:p>
    <w:p w14:paraId="620EFA49" w14:textId="77777777" w:rsidR="00AC7F8A" w:rsidRPr="00630DB0" w:rsidRDefault="00AC7F8A" w:rsidP="00AC7F8A">
      <w:pPr>
        <w:pStyle w:val="INCISO"/>
        <w:spacing w:after="0" w:line="240" w:lineRule="exact"/>
      </w:pPr>
      <w:r w:rsidRPr="00630DB0">
        <w:t>b)</w:t>
      </w:r>
      <w:r w:rsidRPr="00630DB0">
        <w:tab/>
        <w:t>No se realizaron operaciones en el extranjero.</w:t>
      </w:r>
    </w:p>
    <w:p w14:paraId="620EFA4A" w14:textId="77777777" w:rsidR="00AC7F8A" w:rsidRPr="00630DB0" w:rsidRDefault="00AC7F8A" w:rsidP="00AC7F8A">
      <w:pPr>
        <w:pStyle w:val="INCISO"/>
        <w:spacing w:after="0" w:line="240" w:lineRule="exact"/>
      </w:pPr>
      <w:r w:rsidRPr="00630DB0">
        <w:t>c)</w:t>
      </w:r>
      <w:r w:rsidRPr="00630DB0">
        <w:tab/>
        <w:t>No se realiza inversión en acciones en el Sector Paraestatal.</w:t>
      </w:r>
    </w:p>
    <w:p w14:paraId="620EFA4B" w14:textId="77777777" w:rsidR="00AC7F8A" w:rsidRPr="00630DB0" w:rsidRDefault="00AC7F8A" w:rsidP="00AC7F8A">
      <w:pPr>
        <w:pStyle w:val="INCISO"/>
        <w:spacing w:after="0" w:line="240" w:lineRule="exact"/>
      </w:pPr>
      <w:r w:rsidRPr="00630DB0">
        <w:t>d)</w:t>
      </w:r>
      <w:r w:rsidRPr="00630DB0">
        <w:tab/>
        <w:t>El método de valuación de inventarios</w:t>
      </w:r>
      <w:r>
        <w:t xml:space="preserve"> de materiales</w:t>
      </w:r>
      <w:r w:rsidRPr="00630DB0">
        <w:t xml:space="preserve"> es </w:t>
      </w:r>
      <w:r>
        <w:t>primeras entradas primeras salidas</w:t>
      </w:r>
      <w:r w:rsidRPr="00630DB0">
        <w:t>.</w:t>
      </w:r>
    </w:p>
    <w:p w14:paraId="279DBE45" w14:textId="5B06C620" w:rsidR="005508C1" w:rsidRDefault="00AC7F8A" w:rsidP="005508C1">
      <w:pPr>
        <w:pStyle w:val="INCISO"/>
        <w:spacing w:after="0" w:line="240" w:lineRule="exact"/>
      </w:pPr>
      <w:r w:rsidRPr="00630DB0">
        <w:t>e)</w:t>
      </w:r>
      <w:r w:rsidRPr="00630DB0">
        <w:tab/>
        <w:t xml:space="preserve">Los beneficios a empleados corresponden al contrato colectivo de trabajo que tienen celebrado la </w:t>
      </w:r>
      <w:r>
        <w:t>Secretarí</w:t>
      </w:r>
      <w:r w:rsidRPr="00630DB0">
        <w:t>a de Salud Federal y el Sindicato Nacional de los Trabajadores de la Secretar</w:t>
      </w:r>
      <w:r w:rsidR="003966F6">
        <w:t>í</w:t>
      </w:r>
      <w:r w:rsidRPr="00630DB0">
        <w:t>a de Salud.</w:t>
      </w:r>
    </w:p>
    <w:p w14:paraId="620EFA4D" w14:textId="3292660B" w:rsidR="00AC7F8A" w:rsidRPr="00630DB0" w:rsidRDefault="00AC7F8A" w:rsidP="005508C1">
      <w:pPr>
        <w:pStyle w:val="INCISO"/>
        <w:spacing w:after="0" w:line="240" w:lineRule="exact"/>
      </w:pPr>
      <w:r w:rsidRPr="00630DB0">
        <w:t>f)</w:t>
      </w:r>
      <w:r w:rsidR="003966F6">
        <w:tab/>
      </w:r>
      <w:r>
        <w:t>No se tiene registrad</w:t>
      </w:r>
      <w:r w:rsidR="003966F6">
        <w:t>a</w:t>
      </w:r>
      <w:r>
        <w:t xml:space="preserve"> una </w:t>
      </w:r>
      <w:r w:rsidRPr="00994CB8">
        <w:t>p</w:t>
      </w:r>
      <w:r>
        <w:t>rovisión</w:t>
      </w:r>
      <w:r w:rsidRPr="00994CB8">
        <w:t xml:space="preserve"> </w:t>
      </w:r>
      <w:r>
        <w:t>para pasivos laborales</w:t>
      </w:r>
      <w:r w:rsidR="003966F6">
        <w:t>;</w:t>
      </w:r>
      <w:r w:rsidR="0062599C">
        <w:t xml:space="preserve"> ver nota en </w:t>
      </w:r>
      <w:r w:rsidR="0062599C" w:rsidRPr="003F1C15">
        <w:t>Informe de Pasivos Contingentes</w:t>
      </w:r>
      <w:r w:rsidR="005508C1">
        <w:t>.</w:t>
      </w:r>
    </w:p>
    <w:p w14:paraId="620EFA4E" w14:textId="77777777" w:rsidR="00AC7F8A" w:rsidRPr="00630DB0" w:rsidRDefault="00AC7F8A" w:rsidP="00AC7F8A">
      <w:pPr>
        <w:pStyle w:val="INCISO"/>
        <w:spacing w:after="0" w:line="240" w:lineRule="exact"/>
      </w:pPr>
      <w:r w:rsidRPr="00630DB0">
        <w:t>g)</w:t>
      </w:r>
      <w:r w:rsidRPr="00630DB0">
        <w:tab/>
        <w:t>No se determinaron reservas durante el ejercicio.</w:t>
      </w:r>
    </w:p>
    <w:p w14:paraId="620EFA4F" w14:textId="77777777" w:rsidR="00AC7F8A" w:rsidRPr="00630DB0" w:rsidRDefault="00AC7F8A" w:rsidP="00AC7F8A">
      <w:pPr>
        <w:pStyle w:val="INCISO"/>
        <w:spacing w:after="0" w:line="240" w:lineRule="exact"/>
      </w:pPr>
      <w:r w:rsidRPr="00630DB0">
        <w:t>h)</w:t>
      </w:r>
      <w:r w:rsidRPr="00630DB0">
        <w:tab/>
        <w:t xml:space="preserve">Los cambios en políticas contables corresponden a los establecidos en la Normatividad emitida por la CONAC y la corrección de errores junto con la revelación de los efectos que se tendrá en la información financiera </w:t>
      </w:r>
      <w:r>
        <w:t>fueron</w:t>
      </w:r>
      <w:r w:rsidRPr="00630DB0">
        <w:t xml:space="preserve"> reflejados </w:t>
      </w:r>
      <w:r>
        <w:t>en el</w:t>
      </w:r>
      <w:r w:rsidRPr="00630DB0">
        <w:t xml:space="preserve"> ejercicio </w:t>
      </w:r>
      <w:r>
        <w:t>2017</w:t>
      </w:r>
      <w:r w:rsidRPr="00630DB0">
        <w:t>.</w:t>
      </w:r>
    </w:p>
    <w:p w14:paraId="620EFA50" w14:textId="77777777" w:rsidR="00AC7F8A" w:rsidRPr="00630DB0" w:rsidRDefault="00AC7F8A" w:rsidP="00AC7F8A">
      <w:pPr>
        <w:pStyle w:val="INCISO"/>
        <w:spacing w:after="0" w:line="240" w:lineRule="exact"/>
      </w:pPr>
      <w:r w:rsidRPr="00630DB0">
        <w:t>i)</w:t>
      </w:r>
      <w:r w:rsidRPr="00630DB0">
        <w:tab/>
        <w:t>No se efectuaron reclasificaciones por cambios en los tipos de operaciones.</w:t>
      </w:r>
    </w:p>
    <w:p w14:paraId="620EFA51" w14:textId="77777777" w:rsidR="00AC7F8A" w:rsidRPr="00630DB0" w:rsidRDefault="00AC7F8A" w:rsidP="00AC7F8A">
      <w:pPr>
        <w:pStyle w:val="INCISO"/>
        <w:spacing w:after="0" w:line="240" w:lineRule="exact"/>
      </w:pPr>
      <w:r w:rsidRPr="00630DB0">
        <w:t>j)</w:t>
      </w:r>
      <w:r w:rsidRPr="00630DB0">
        <w:tab/>
      </w:r>
      <w:r w:rsidRPr="00994CB8">
        <w:t>Durante el ejercicio se está efectuando la depuración y cancelación de saldos</w:t>
      </w:r>
      <w:r w:rsidRPr="00630DB0">
        <w:t>.</w:t>
      </w:r>
    </w:p>
    <w:p w14:paraId="27FF5021" w14:textId="77777777" w:rsidR="00E55A88" w:rsidRPr="00630DB0" w:rsidRDefault="00E55A88" w:rsidP="00AC7F8A">
      <w:pPr>
        <w:pStyle w:val="INCISO"/>
        <w:spacing w:after="0" w:line="240" w:lineRule="exact"/>
        <w:ind w:left="0" w:firstLine="0"/>
      </w:pPr>
    </w:p>
    <w:p w14:paraId="620EFA53" w14:textId="77777777" w:rsidR="00AC7F8A" w:rsidRPr="00630DB0" w:rsidRDefault="00AC7F8A" w:rsidP="00AC7F8A">
      <w:pPr>
        <w:pStyle w:val="Texto"/>
        <w:spacing w:after="0" w:line="240" w:lineRule="exact"/>
        <w:ind w:left="284" w:firstLine="4"/>
        <w:rPr>
          <w:b/>
          <w:szCs w:val="18"/>
          <w:lang w:val="es-MX"/>
        </w:rPr>
      </w:pPr>
      <w:r w:rsidRPr="00630DB0">
        <w:rPr>
          <w:b/>
          <w:szCs w:val="18"/>
          <w:lang w:val="es-MX"/>
        </w:rPr>
        <w:lastRenderedPageBreak/>
        <w:t>Posición en Moneda Extranjera y Protección por Riesgo Cambiario</w:t>
      </w:r>
    </w:p>
    <w:p w14:paraId="620EFA54" w14:textId="08FF7892" w:rsidR="00AC7F8A" w:rsidRPr="00630DB0" w:rsidRDefault="00AC7F8A" w:rsidP="00AC7F8A">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sidRPr="00630DB0">
        <w:rPr>
          <w:szCs w:val="18"/>
        </w:rPr>
        <w:t>no cuenta con activos o pasivos en moneda extranjera</w:t>
      </w:r>
      <w:r w:rsidR="005508C1">
        <w:rPr>
          <w:szCs w:val="18"/>
        </w:rPr>
        <w:t>.</w:t>
      </w:r>
    </w:p>
    <w:p w14:paraId="620EFA55" w14:textId="77777777" w:rsidR="00AC7F8A" w:rsidRPr="00630DB0" w:rsidRDefault="00AC7F8A" w:rsidP="00AC7F8A">
      <w:pPr>
        <w:pStyle w:val="Texto"/>
        <w:spacing w:after="0" w:line="240" w:lineRule="exact"/>
        <w:rPr>
          <w:szCs w:val="18"/>
        </w:rPr>
      </w:pPr>
    </w:p>
    <w:p w14:paraId="620EFA56" w14:textId="77777777" w:rsidR="00AC7F8A" w:rsidRPr="00630DB0" w:rsidRDefault="00AC7F8A" w:rsidP="00AC7F8A">
      <w:pPr>
        <w:pStyle w:val="Texto"/>
        <w:spacing w:after="0" w:line="240" w:lineRule="exact"/>
        <w:rPr>
          <w:b/>
          <w:szCs w:val="18"/>
          <w:lang w:val="es-MX"/>
        </w:rPr>
      </w:pPr>
      <w:r w:rsidRPr="00630DB0">
        <w:rPr>
          <w:b/>
          <w:szCs w:val="18"/>
          <w:lang w:val="es-MX"/>
        </w:rPr>
        <w:t>Reporte Analítico del Activo</w:t>
      </w:r>
    </w:p>
    <w:p w14:paraId="620EFA57" w14:textId="6B950EC7" w:rsidR="00AC7F8A" w:rsidRPr="00630DB0" w:rsidRDefault="00AC7F8A" w:rsidP="00AC7F8A">
      <w:pPr>
        <w:pStyle w:val="INCISO"/>
        <w:spacing w:after="0" w:line="240" w:lineRule="exact"/>
      </w:pPr>
      <w:r w:rsidRPr="00630DB0">
        <w:t>a)</w:t>
      </w:r>
      <w:r w:rsidRPr="00630DB0">
        <w:tab/>
      </w:r>
      <w:r w:rsidR="002E5ED2">
        <w:t>A la fecha de presentación</w:t>
      </w:r>
      <w:r w:rsidRPr="00B8048F">
        <w:t xml:space="preserve"> no se han realizado depreciaciones de activos.</w:t>
      </w:r>
    </w:p>
    <w:p w14:paraId="620EFA58" w14:textId="77777777" w:rsidR="00AC7F8A" w:rsidRPr="00630DB0" w:rsidRDefault="00AC7F8A" w:rsidP="00AC7F8A">
      <w:pPr>
        <w:pStyle w:val="INCISO"/>
        <w:spacing w:after="0" w:line="240" w:lineRule="exact"/>
      </w:pPr>
      <w:r w:rsidRPr="00630DB0">
        <w:t>b)</w:t>
      </w:r>
      <w:r w:rsidRPr="00630DB0">
        <w:tab/>
        <w:t>No se realizaron cambios en el porcentaje de depreciación o valor residual de los activos como lo explica el inciso a).</w:t>
      </w:r>
    </w:p>
    <w:p w14:paraId="620EFA59" w14:textId="30AFDD9B" w:rsidR="00AC7F8A" w:rsidRPr="00630DB0" w:rsidRDefault="00AC7F8A" w:rsidP="00AC7F8A">
      <w:pPr>
        <w:pStyle w:val="INCISO"/>
        <w:spacing w:after="0" w:line="240" w:lineRule="exact"/>
      </w:pPr>
      <w:r w:rsidRPr="00630DB0">
        <w:t>c)</w:t>
      </w:r>
      <w:r w:rsidRPr="00630DB0">
        <w:tab/>
        <w:t xml:space="preserve">No existieron importe de gastos capitalizados en </w:t>
      </w:r>
      <w:r w:rsidR="00B86E68">
        <w:t>e</w:t>
      </w:r>
      <w:r w:rsidR="0089374A" w:rsidRPr="00630DB0">
        <w:t>l</w:t>
      </w:r>
      <w:r w:rsidRPr="00630DB0">
        <w:t xml:space="preserve"> </w:t>
      </w:r>
      <w:r w:rsidR="003966F6">
        <w:t>periodo</w:t>
      </w:r>
      <w:r w:rsidRPr="00630DB0">
        <w:t>, tanto financieros como de investigación y desarrollo.</w:t>
      </w:r>
    </w:p>
    <w:p w14:paraId="620EFA5A" w14:textId="635CB612" w:rsidR="00AC7F8A" w:rsidRPr="00630DB0" w:rsidRDefault="00AC7F8A" w:rsidP="00AC7F8A">
      <w:pPr>
        <w:pStyle w:val="INCISO"/>
        <w:spacing w:after="0" w:line="240" w:lineRule="exact"/>
      </w:pPr>
      <w:r w:rsidRPr="00630DB0">
        <w:t>d)</w:t>
      </w:r>
      <w:r w:rsidRPr="00630DB0">
        <w:tab/>
        <w:t>No se tuvieron rie</w:t>
      </w:r>
      <w:r w:rsidR="00A30021">
        <w:t>s</w:t>
      </w:r>
      <w:r w:rsidRPr="00630DB0">
        <w:t>gos por tipo de cambio o tipo de interés de las inversiones financieras.</w:t>
      </w:r>
    </w:p>
    <w:p w14:paraId="620EFA5B" w14:textId="50CCFE9C" w:rsidR="00AC7F8A" w:rsidRPr="00630DB0" w:rsidRDefault="00AC7F8A" w:rsidP="00AC7F8A">
      <w:pPr>
        <w:pStyle w:val="INCISO"/>
        <w:spacing w:after="0" w:line="240" w:lineRule="exact"/>
      </w:pPr>
      <w:r w:rsidRPr="00630DB0">
        <w:t>e)</w:t>
      </w:r>
      <w:r w:rsidRPr="00630DB0">
        <w:tab/>
      </w:r>
      <w:r>
        <w:t>No se han realizado</w:t>
      </w:r>
      <w:r w:rsidRPr="00630DB0">
        <w:t xml:space="preserve"> inversiones en Edificios durante el</w:t>
      </w:r>
      <w:r w:rsidR="003966F6">
        <w:t xml:space="preserve"> periodo</w:t>
      </w:r>
      <w:r w:rsidRPr="00630DB0">
        <w:t>.</w:t>
      </w:r>
    </w:p>
    <w:p w14:paraId="620EFA5C" w14:textId="4527BC22" w:rsidR="00AC7F8A" w:rsidRPr="00630DB0" w:rsidRDefault="00AC7F8A" w:rsidP="00AC7F8A">
      <w:pPr>
        <w:pStyle w:val="INCISO"/>
        <w:spacing w:after="0" w:line="240" w:lineRule="exact"/>
      </w:pPr>
      <w:r w:rsidRPr="00630DB0">
        <w:t>f)</w:t>
      </w:r>
      <w:r w:rsidRPr="00630DB0">
        <w:tab/>
      </w:r>
      <w:r>
        <w:t>No se han tenido</w:t>
      </w:r>
      <w:r w:rsidRPr="00630DB0">
        <w:t xml:space="preserve"> circunstancias de carácter significativo que afect</w:t>
      </w:r>
      <w:r>
        <w:t>en</w:t>
      </w:r>
      <w:r w:rsidRPr="00630DB0">
        <w:t xml:space="preserve"> al activo durante el </w:t>
      </w:r>
      <w:r w:rsidR="002E5ED2">
        <w:t xml:space="preserve">presente </w:t>
      </w:r>
      <w:r w:rsidRPr="00630DB0">
        <w:t>ejercicio</w:t>
      </w:r>
      <w:r>
        <w:t>.</w:t>
      </w:r>
    </w:p>
    <w:p w14:paraId="620EFA5D" w14:textId="77777777" w:rsidR="00AC7F8A" w:rsidRPr="00630DB0" w:rsidRDefault="00AC7F8A" w:rsidP="00AC7F8A">
      <w:pPr>
        <w:pStyle w:val="INCISO"/>
        <w:spacing w:after="0" w:line="240" w:lineRule="exact"/>
      </w:pPr>
      <w:r w:rsidRPr="00630DB0">
        <w:t>g)</w:t>
      </w:r>
      <w:r w:rsidRPr="00630DB0">
        <w:tab/>
        <w:t>No se llevaron a cabo desmantelamiento de Activos.</w:t>
      </w:r>
    </w:p>
    <w:p w14:paraId="620EFA5E" w14:textId="77777777" w:rsidR="00AC7F8A" w:rsidRPr="00630DB0" w:rsidRDefault="00AC7F8A" w:rsidP="00AC7F8A">
      <w:pPr>
        <w:pStyle w:val="INCISO"/>
        <w:spacing w:after="0" w:line="240" w:lineRule="exact"/>
        <w:ind w:left="0" w:firstLine="0"/>
      </w:pPr>
    </w:p>
    <w:p w14:paraId="620EFA5F" w14:textId="77777777" w:rsidR="00AC7F8A" w:rsidRPr="00630DB0" w:rsidRDefault="00AC7F8A" w:rsidP="00AC7F8A">
      <w:pPr>
        <w:pStyle w:val="Texto"/>
        <w:spacing w:after="0" w:line="240" w:lineRule="exact"/>
        <w:rPr>
          <w:b/>
          <w:szCs w:val="18"/>
          <w:lang w:val="es-MX"/>
        </w:rPr>
      </w:pPr>
      <w:r w:rsidRPr="00630DB0">
        <w:rPr>
          <w:b/>
          <w:szCs w:val="18"/>
          <w:lang w:val="es-MX"/>
        </w:rPr>
        <w:t>Fideicomisos, Mandatos y Análogos</w:t>
      </w:r>
    </w:p>
    <w:p w14:paraId="620EFA60" w14:textId="77777777" w:rsidR="00AC7F8A" w:rsidRPr="00630DB0" w:rsidRDefault="00AC7F8A" w:rsidP="00AC7F8A">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Pr>
          <w:lang w:val="es-MX"/>
        </w:rPr>
        <w:t>n</w:t>
      </w:r>
      <w:r w:rsidRPr="00630DB0">
        <w:rPr>
          <w:szCs w:val="18"/>
        </w:rPr>
        <w:t>o tiene fideicomisos.</w:t>
      </w:r>
    </w:p>
    <w:p w14:paraId="620EFA61" w14:textId="77777777" w:rsidR="00AC7F8A" w:rsidRPr="00630DB0" w:rsidRDefault="00AC7F8A" w:rsidP="00AC7F8A">
      <w:pPr>
        <w:pStyle w:val="INCISO"/>
        <w:spacing w:after="0" w:line="240" w:lineRule="exact"/>
      </w:pPr>
    </w:p>
    <w:p w14:paraId="620EFA62" w14:textId="77777777" w:rsidR="00AC7F8A" w:rsidRDefault="00AC7F8A" w:rsidP="00AC7F8A">
      <w:pPr>
        <w:pStyle w:val="Texto"/>
        <w:spacing w:after="0" w:line="240" w:lineRule="exact"/>
        <w:rPr>
          <w:b/>
          <w:szCs w:val="18"/>
          <w:lang w:val="es-MX"/>
        </w:rPr>
      </w:pPr>
      <w:r w:rsidRPr="00630DB0">
        <w:rPr>
          <w:b/>
          <w:szCs w:val="18"/>
          <w:lang w:val="es-MX"/>
        </w:rPr>
        <w:t>Reporte de la Recaudación</w:t>
      </w:r>
    </w:p>
    <w:p w14:paraId="620EFA63" w14:textId="54904152" w:rsidR="00AC7F8A" w:rsidRPr="00630DB0" w:rsidRDefault="00AC7F8A" w:rsidP="00AC7F8A">
      <w:pPr>
        <w:pStyle w:val="INCISO"/>
        <w:spacing w:after="0" w:line="240" w:lineRule="exact"/>
      </w:pPr>
      <w:r w:rsidRPr="00630DB0">
        <w:t>a)</w:t>
      </w:r>
      <w:r w:rsidRPr="00630DB0">
        <w:tab/>
      </w:r>
      <w:r w:rsidRPr="00994CB8">
        <w:t xml:space="preserve">Durante el presente </w:t>
      </w:r>
      <w:r w:rsidR="0089374A">
        <w:t>periodo</w:t>
      </w:r>
      <w:r w:rsidRPr="00994CB8">
        <w:t xml:space="preserve"> la recaudación de los ingresos se realiz</w:t>
      </w:r>
      <w:r w:rsidR="0089374A">
        <w:t>ó</w:t>
      </w:r>
      <w:r w:rsidRPr="00994CB8">
        <w:t xml:space="preserve"> a través de la Secretaría de Planeación y Finanzas.</w:t>
      </w:r>
    </w:p>
    <w:p w14:paraId="620EFA64" w14:textId="77777777" w:rsidR="00AC7F8A" w:rsidRDefault="00AC7F8A" w:rsidP="00AC7F8A">
      <w:pPr>
        <w:pStyle w:val="INCISO"/>
        <w:spacing w:after="0" w:line="240" w:lineRule="exact"/>
      </w:pPr>
    </w:p>
    <w:p w14:paraId="620EFA65" w14:textId="77777777" w:rsidR="00AC7F8A" w:rsidRPr="00630DB0" w:rsidRDefault="00AC7F8A" w:rsidP="00AC7F8A">
      <w:pPr>
        <w:pStyle w:val="Texto"/>
        <w:spacing w:after="0" w:line="240" w:lineRule="exact"/>
        <w:rPr>
          <w:b/>
          <w:szCs w:val="18"/>
          <w:lang w:val="es-MX"/>
        </w:rPr>
      </w:pPr>
      <w:r w:rsidRPr="00630DB0">
        <w:rPr>
          <w:b/>
          <w:szCs w:val="18"/>
          <w:lang w:val="es-MX"/>
        </w:rPr>
        <w:t>Información sobre la Deuda y el Reporte Analítico de la Deuda</w:t>
      </w:r>
    </w:p>
    <w:p w14:paraId="620EFA66" w14:textId="40EE1FD2" w:rsidR="00AC7F8A" w:rsidRPr="00630DB0" w:rsidRDefault="00AC7F8A" w:rsidP="00AC7F8A">
      <w:pPr>
        <w:pStyle w:val="Texto"/>
        <w:spacing w:after="0" w:line="240" w:lineRule="exact"/>
        <w:rPr>
          <w:szCs w:val="18"/>
          <w:lang w:val="es-MX"/>
        </w:rPr>
      </w:pPr>
      <w:r>
        <w:rPr>
          <w:lang w:val="es-MX"/>
        </w:rPr>
        <w:t xml:space="preserve">La </w:t>
      </w:r>
      <w:r w:rsidRPr="002B3AF4">
        <w:t>Secretar</w:t>
      </w:r>
      <w:r>
        <w:t>ía</w:t>
      </w:r>
      <w:r w:rsidRPr="002B3AF4">
        <w:t xml:space="preserve"> de Salud y O.P.D. Salud de Tlaxcala</w:t>
      </w:r>
      <w:r w:rsidRPr="002B3AF4">
        <w:rPr>
          <w:lang w:val="es-MX"/>
        </w:rPr>
        <w:t xml:space="preserve"> </w:t>
      </w:r>
      <w:r w:rsidRPr="00630DB0">
        <w:rPr>
          <w:szCs w:val="18"/>
          <w:lang w:val="es-MX"/>
        </w:rPr>
        <w:t>no tiene Deuda P</w:t>
      </w:r>
      <w:r w:rsidR="00B86E68">
        <w:rPr>
          <w:szCs w:val="18"/>
          <w:lang w:val="es-MX"/>
        </w:rPr>
        <w:t>ú</w:t>
      </w:r>
      <w:r w:rsidRPr="00630DB0">
        <w:rPr>
          <w:szCs w:val="18"/>
          <w:lang w:val="es-MX"/>
        </w:rPr>
        <w:t>blica Contratada.</w:t>
      </w:r>
    </w:p>
    <w:p w14:paraId="620EFA67" w14:textId="77777777" w:rsidR="00AC7F8A" w:rsidRPr="00630DB0" w:rsidRDefault="00AC7F8A" w:rsidP="00AC7F8A">
      <w:pPr>
        <w:pStyle w:val="INCISO"/>
        <w:spacing w:after="0" w:line="240" w:lineRule="exact"/>
        <w:rPr>
          <w:lang w:val="es-MX"/>
        </w:rPr>
      </w:pPr>
    </w:p>
    <w:p w14:paraId="620EFA68" w14:textId="77777777" w:rsidR="00AC7F8A" w:rsidRPr="00630DB0" w:rsidRDefault="00AC7F8A" w:rsidP="00AC7F8A">
      <w:pPr>
        <w:pStyle w:val="Texto"/>
        <w:spacing w:after="0" w:line="240" w:lineRule="exact"/>
        <w:rPr>
          <w:b/>
          <w:szCs w:val="18"/>
          <w:lang w:val="es-MX"/>
        </w:rPr>
      </w:pPr>
      <w:r w:rsidRPr="00630DB0">
        <w:rPr>
          <w:b/>
          <w:szCs w:val="18"/>
          <w:lang w:val="es-MX"/>
        </w:rPr>
        <w:t>Calificaciones otorgadas</w:t>
      </w:r>
    </w:p>
    <w:p w14:paraId="620EFA69" w14:textId="77777777" w:rsidR="00AC7F8A" w:rsidRPr="00630DB0" w:rsidRDefault="00AC7F8A" w:rsidP="00AC7F8A">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Pr>
          <w:lang w:val="es-MX"/>
        </w:rPr>
        <w:t>n</w:t>
      </w:r>
      <w:r w:rsidRPr="00630DB0">
        <w:rPr>
          <w:szCs w:val="18"/>
          <w:lang w:val="es-MX"/>
        </w:rPr>
        <w:t xml:space="preserve">o tiene ninguna </w:t>
      </w:r>
      <w:r w:rsidRPr="00630DB0">
        <w:rPr>
          <w:szCs w:val="18"/>
        </w:rPr>
        <w:t>calificación crediticia.</w:t>
      </w:r>
    </w:p>
    <w:p w14:paraId="620EFA6A" w14:textId="77777777" w:rsidR="00AC7F8A" w:rsidRPr="00630DB0" w:rsidRDefault="00AC7F8A" w:rsidP="00AC7F8A">
      <w:pPr>
        <w:pStyle w:val="Texto"/>
        <w:spacing w:after="0" w:line="240" w:lineRule="exact"/>
        <w:rPr>
          <w:szCs w:val="18"/>
        </w:rPr>
      </w:pPr>
    </w:p>
    <w:p w14:paraId="620EFA6B" w14:textId="77777777" w:rsidR="00AC7F8A" w:rsidRPr="00630DB0" w:rsidRDefault="00AC7F8A" w:rsidP="00AC7F8A">
      <w:pPr>
        <w:pStyle w:val="Texto"/>
        <w:spacing w:after="0" w:line="240" w:lineRule="exact"/>
        <w:rPr>
          <w:b/>
          <w:szCs w:val="18"/>
          <w:lang w:val="es-MX"/>
        </w:rPr>
      </w:pPr>
      <w:r w:rsidRPr="00630DB0">
        <w:rPr>
          <w:b/>
          <w:szCs w:val="18"/>
          <w:lang w:val="es-MX"/>
        </w:rPr>
        <w:t>Proceso de Mejora</w:t>
      </w:r>
    </w:p>
    <w:p w14:paraId="620EFA6C" w14:textId="77777777" w:rsidR="00AC7F8A" w:rsidRPr="00994CB8" w:rsidRDefault="00AC7F8A" w:rsidP="00AC7F8A">
      <w:pPr>
        <w:pStyle w:val="Texto"/>
        <w:spacing w:after="0" w:line="240" w:lineRule="exact"/>
        <w:rPr>
          <w:szCs w:val="18"/>
        </w:rPr>
      </w:pPr>
      <w:r w:rsidRPr="00994CB8">
        <w:rPr>
          <w:szCs w:val="18"/>
        </w:rPr>
        <w:t>Se informará de:</w:t>
      </w:r>
    </w:p>
    <w:p w14:paraId="620EFA6D" w14:textId="0A47871F" w:rsidR="00AC7F8A" w:rsidRPr="00994CB8" w:rsidRDefault="00AC7F8A" w:rsidP="00AC7F8A">
      <w:pPr>
        <w:pStyle w:val="INCISO"/>
        <w:spacing w:after="0" w:line="240" w:lineRule="exact"/>
      </w:pPr>
      <w:r w:rsidRPr="00994CB8">
        <w:t>a)</w:t>
      </w:r>
      <w:r w:rsidRPr="00994CB8">
        <w:tab/>
        <w:t>Principales Políticas de control interno</w:t>
      </w:r>
      <w:r w:rsidR="00B86E68">
        <w:t>.</w:t>
      </w:r>
    </w:p>
    <w:p w14:paraId="620EFA6E" w14:textId="77777777" w:rsidR="00AC7F8A" w:rsidRPr="00630DB0" w:rsidRDefault="00AC7F8A" w:rsidP="00AC7F8A">
      <w:pPr>
        <w:pStyle w:val="INCISO"/>
        <w:spacing w:after="0" w:line="240" w:lineRule="exact"/>
      </w:pPr>
      <w:r w:rsidRPr="00994CB8">
        <w:t>b)</w:t>
      </w:r>
      <w:r w:rsidRPr="00994CB8">
        <w:tab/>
        <w:t>Medidas de desempeño financiero, metas y alcance.</w:t>
      </w:r>
    </w:p>
    <w:p w14:paraId="620EFA6F" w14:textId="77777777" w:rsidR="00AC7F8A" w:rsidRPr="00630DB0" w:rsidRDefault="00AC7F8A" w:rsidP="00AC7F8A">
      <w:pPr>
        <w:pStyle w:val="INCISO"/>
        <w:spacing w:after="0" w:line="240" w:lineRule="exact"/>
      </w:pPr>
    </w:p>
    <w:p w14:paraId="620EFA70" w14:textId="77777777" w:rsidR="00AC7F8A" w:rsidRPr="00630DB0" w:rsidRDefault="00AC7F8A" w:rsidP="00AC7F8A">
      <w:pPr>
        <w:pStyle w:val="Texto"/>
        <w:spacing w:after="0" w:line="240" w:lineRule="exact"/>
        <w:rPr>
          <w:b/>
          <w:szCs w:val="18"/>
          <w:lang w:val="es-MX"/>
        </w:rPr>
      </w:pPr>
      <w:r w:rsidRPr="00630DB0">
        <w:rPr>
          <w:b/>
          <w:szCs w:val="18"/>
          <w:lang w:val="es-MX"/>
        </w:rPr>
        <w:t>Información por Segmentos</w:t>
      </w:r>
    </w:p>
    <w:p w14:paraId="620EFA71" w14:textId="77777777" w:rsidR="00AC7F8A" w:rsidRDefault="00AC7F8A" w:rsidP="00AC7F8A">
      <w:pPr>
        <w:pStyle w:val="Texto"/>
        <w:spacing w:after="0" w:line="240" w:lineRule="exact"/>
        <w:rPr>
          <w:szCs w:val="18"/>
          <w:lang w:val="es-MX"/>
        </w:rPr>
      </w:pPr>
      <w:r>
        <w:rPr>
          <w:szCs w:val="18"/>
          <w:lang w:val="es-MX"/>
        </w:rPr>
        <w:t>La información que se presenta concentra las actividades y operaciones que realiza OPD Salud de Tlaxcala.</w:t>
      </w:r>
    </w:p>
    <w:p w14:paraId="620EFA72" w14:textId="77777777" w:rsidR="00AC7F8A" w:rsidRPr="00630DB0" w:rsidRDefault="00AC7F8A" w:rsidP="00AC7F8A">
      <w:pPr>
        <w:pStyle w:val="Texto"/>
        <w:spacing w:after="0" w:line="240" w:lineRule="exact"/>
        <w:rPr>
          <w:szCs w:val="18"/>
          <w:lang w:val="es-MX"/>
        </w:rPr>
      </w:pPr>
    </w:p>
    <w:p w14:paraId="620EFA73" w14:textId="77777777" w:rsidR="00AC7F8A" w:rsidRPr="00630DB0" w:rsidRDefault="00AC7F8A" w:rsidP="00AC7F8A">
      <w:pPr>
        <w:pStyle w:val="Texto"/>
        <w:spacing w:after="0" w:line="240" w:lineRule="exact"/>
        <w:rPr>
          <w:b/>
          <w:szCs w:val="18"/>
          <w:lang w:val="es-MX"/>
        </w:rPr>
      </w:pPr>
      <w:r w:rsidRPr="00630DB0">
        <w:rPr>
          <w:b/>
          <w:szCs w:val="18"/>
          <w:lang w:val="es-MX"/>
        </w:rPr>
        <w:t>Eventos Posteriores al Cierre</w:t>
      </w:r>
    </w:p>
    <w:p w14:paraId="620EFA74" w14:textId="77777777" w:rsidR="00AC7F8A" w:rsidRDefault="00AC7F8A" w:rsidP="00AC7F8A">
      <w:pPr>
        <w:pStyle w:val="Texto"/>
        <w:spacing w:after="0" w:line="240" w:lineRule="exact"/>
        <w:ind w:left="284" w:firstLine="4"/>
        <w:rPr>
          <w:szCs w:val="18"/>
        </w:rPr>
      </w:pPr>
      <w:r w:rsidRPr="00994CB8">
        <w:rPr>
          <w:szCs w:val="18"/>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620EFA75" w14:textId="77777777" w:rsidR="00AC7F8A" w:rsidRPr="00630DB0" w:rsidRDefault="00AC7F8A" w:rsidP="00AC7F8A">
      <w:pPr>
        <w:pStyle w:val="Texto"/>
        <w:spacing w:after="0" w:line="240" w:lineRule="exact"/>
        <w:ind w:left="708" w:firstLine="0"/>
        <w:rPr>
          <w:szCs w:val="18"/>
        </w:rPr>
      </w:pPr>
    </w:p>
    <w:p w14:paraId="620EFA76" w14:textId="77777777" w:rsidR="00AC7F8A" w:rsidRPr="00630DB0" w:rsidRDefault="00AC7F8A" w:rsidP="00AC7F8A">
      <w:pPr>
        <w:pStyle w:val="Texto"/>
        <w:spacing w:after="0" w:line="240" w:lineRule="exact"/>
        <w:ind w:firstLine="0"/>
        <w:rPr>
          <w:szCs w:val="18"/>
        </w:rPr>
      </w:pPr>
    </w:p>
    <w:p w14:paraId="620EFA77" w14:textId="77777777" w:rsidR="00AC7F8A" w:rsidRDefault="00AC7F8A" w:rsidP="00AC7F8A">
      <w:pPr>
        <w:pStyle w:val="Texto"/>
        <w:spacing w:after="0" w:line="240" w:lineRule="exact"/>
        <w:rPr>
          <w:b/>
          <w:szCs w:val="18"/>
          <w:lang w:val="es-MX"/>
        </w:rPr>
      </w:pPr>
    </w:p>
    <w:p w14:paraId="620EFA78" w14:textId="77777777" w:rsidR="00AC7F8A" w:rsidRDefault="00AC7F8A" w:rsidP="00AC7F8A">
      <w:pPr>
        <w:pStyle w:val="Texto"/>
        <w:spacing w:after="0" w:line="240" w:lineRule="exact"/>
        <w:rPr>
          <w:b/>
          <w:szCs w:val="18"/>
          <w:lang w:val="es-MX"/>
        </w:rPr>
      </w:pPr>
    </w:p>
    <w:p w14:paraId="620EFA79" w14:textId="77777777" w:rsidR="00AC7F8A" w:rsidRPr="00630DB0" w:rsidRDefault="00AC7F8A" w:rsidP="00AC7F8A">
      <w:pPr>
        <w:pStyle w:val="Texto"/>
        <w:spacing w:after="0" w:line="240" w:lineRule="exact"/>
        <w:rPr>
          <w:b/>
          <w:szCs w:val="18"/>
          <w:lang w:val="es-MX"/>
        </w:rPr>
      </w:pPr>
      <w:r w:rsidRPr="00630DB0">
        <w:rPr>
          <w:b/>
          <w:szCs w:val="18"/>
          <w:lang w:val="es-MX"/>
        </w:rPr>
        <w:lastRenderedPageBreak/>
        <w:t>Partes Relacionadas</w:t>
      </w:r>
    </w:p>
    <w:p w14:paraId="620EFA7A" w14:textId="4BC12E8A" w:rsidR="00AC7F8A" w:rsidRPr="00630DB0" w:rsidRDefault="00AC7F8A" w:rsidP="00AC7F8A">
      <w:pPr>
        <w:pStyle w:val="Texto"/>
        <w:spacing w:after="0" w:line="240" w:lineRule="exact"/>
        <w:ind w:left="284" w:firstLine="4"/>
        <w:rPr>
          <w:szCs w:val="18"/>
        </w:rPr>
      </w:pPr>
      <w:r>
        <w:rPr>
          <w:lang w:val="es-MX"/>
        </w:rPr>
        <w:t xml:space="preserve">La </w:t>
      </w:r>
      <w:r w:rsidRPr="002B3AF4">
        <w:t>Secretar</w:t>
      </w:r>
      <w:r>
        <w:t>ía</w:t>
      </w:r>
      <w:r w:rsidRPr="002B3AF4">
        <w:t xml:space="preserve"> de Salud y O.P.D. Salud de Tlaxcala</w:t>
      </w:r>
      <w:r w:rsidR="005508C1">
        <w:t>,</w:t>
      </w:r>
      <w:r w:rsidRPr="002B3AF4">
        <w:rPr>
          <w:lang w:val="es-MX"/>
        </w:rPr>
        <w:t xml:space="preserve"> </w:t>
      </w:r>
      <w:r>
        <w:rPr>
          <w:lang w:val="es-MX"/>
        </w:rPr>
        <w:t>n</w:t>
      </w:r>
      <w:r w:rsidRPr="00630DB0">
        <w:rPr>
          <w:szCs w:val="18"/>
        </w:rPr>
        <w:t>o tienen partes relacionadas que pudieran ejercer influencia significativa sobre la toma de decisiones financieras y operativas.</w:t>
      </w:r>
    </w:p>
    <w:p w14:paraId="620EFA7B" w14:textId="77777777" w:rsidR="00AC7F8A" w:rsidRPr="00630DB0" w:rsidRDefault="00AC7F8A" w:rsidP="00AC7F8A">
      <w:pPr>
        <w:pStyle w:val="Texto"/>
        <w:spacing w:after="0" w:line="240" w:lineRule="exact"/>
        <w:rPr>
          <w:szCs w:val="18"/>
        </w:rPr>
      </w:pPr>
    </w:p>
    <w:p w14:paraId="055551BF" w14:textId="77777777" w:rsidR="00A30021" w:rsidRDefault="00A30021" w:rsidP="00A30021">
      <w:pPr>
        <w:pStyle w:val="Texto"/>
        <w:spacing w:after="0" w:line="240" w:lineRule="auto"/>
        <w:ind w:left="284" w:firstLine="5"/>
        <w:rPr>
          <w:szCs w:val="18"/>
        </w:rPr>
      </w:pPr>
      <w:bookmarkStart w:id="1" w:name="_Hlk61290257"/>
      <w:r>
        <w:rPr>
          <w:b/>
          <w:bCs/>
          <w:szCs w:val="18"/>
        </w:rPr>
        <w:t xml:space="preserve">Recursos no ejercidos. </w:t>
      </w:r>
      <w:bookmarkEnd w:id="1"/>
      <w:r>
        <w:rPr>
          <w:szCs w:val="18"/>
        </w:rPr>
        <w:t>En el ejercicio fiscal 2020, las fuentes de financiamiento tuvieron cambios en las reglas de operación de partidas de gasto autorizadas, aunado a la Pandemia SARS-Cov2 – COVID -19 a nivel mundial que imposibilitó al Estado la ejecución total de los recursos ante la limitación tan estricta por parte de la Federación para poder atender las acciones extraordinarias que no se consideraron en el Presupuesto de Egresos de la Federación, y ante la inmunemente atención por la Federación el Estado mismo.</w:t>
      </w:r>
    </w:p>
    <w:p w14:paraId="352DC6AF" w14:textId="77777777" w:rsidR="00A30021" w:rsidRDefault="00A30021" w:rsidP="00A30021">
      <w:pPr>
        <w:pStyle w:val="Texto"/>
        <w:spacing w:after="0" w:line="240" w:lineRule="auto"/>
        <w:ind w:left="284" w:firstLine="5"/>
        <w:rPr>
          <w:szCs w:val="18"/>
        </w:rPr>
      </w:pPr>
      <w:r>
        <w:rPr>
          <w:szCs w:val="18"/>
        </w:rPr>
        <w:t>Por lo que se</w:t>
      </w:r>
      <w:r>
        <w:rPr>
          <w:b/>
          <w:bCs/>
          <w:szCs w:val="18"/>
        </w:rPr>
        <w:t xml:space="preserve"> </w:t>
      </w:r>
      <w:r>
        <w:rPr>
          <w:szCs w:val="18"/>
        </w:rPr>
        <w:t xml:space="preserve"> tuvo que hacer frente a la contingencia de salud  que es del  “Dominio y conocimiento público” de atender la emergencia sanitaria generada por el virus ya mencionado, de conformidad al ACUERDO de fecha treinta y uno de marzo de dos mil veinte, la cual generó cambios a la programación del Presupuesto de egresos a recibir en la Secretaría de Salud y de las actividades del Programa Anual de Trabajo para el ejercicio fiscal 2020; y como consecuencia la no aplicación del total de los recursos programados en el Presupuesto Federal, derivado de diversos factores, por citar algunos, los precios de referencia establecidos por la Secretaría de Hacienda y Crédito Público, como parte del compendio nacional de medicamentos y material de curación,</w:t>
      </w:r>
      <w:r>
        <w:t xml:space="preserve"> </w:t>
      </w:r>
      <w:hyperlink r:id="rId13" w:history="1">
        <w:r>
          <w:rPr>
            <w:rStyle w:val="Hipervnculo"/>
            <w:szCs w:val="18"/>
          </w:rPr>
          <w:t>https://www.gob.mx/salud/prensa/317-nuevo-compendio-nacional-de-insumos-para-la-salud</w:t>
        </w:r>
      </w:hyperlink>
      <w:r>
        <w:rPr>
          <w:szCs w:val="18"/>
        </w:rPr>
        <w:t xml:space="preserve"> los que al no contar con recursos oportunos (calendarizados) que no se continuara con las estrategias ya programadas para la erogación de recursos con procedimientos de adjudicación y/o que en su caso debían ser forzosamente por Licitación Pública Nacional, y a fin de no incurrir en faltas administrativas o daño patrimonial para el Estado y estar en condiciones de ejercer dicho recurso conforme a la normatividad aplicable, aunado a la ausencia de personal en las dependencias por el resguardo domiciliario que afectó notablemente los procedimientos administrativos.</w:t>
      </w:r>
    </w:p>
    <w:p w14:paraId="382BE730" w14:textId="77777777" w:rsidR="00A30021" w:rsidRDefault="00A30021" w:rsidP="00A30021">
      <w:pPr>
        <w:pStyle w:val="Texto"/>
        <w:ind w:left="284" w:firstLine="0"/>
      </w:pPr>
    </w:p>
    <w:p w14:paraId="0750FE73" w14:textId="77777777" w:rsidR="00A30021" w:rsidRDefault="00A30021" w:rsidP="00A30021">
      <w:pPr>
        <w:pStyle w:val="Texto"/>
        <w:ind w:left="284" w:firstLine="0"/>
      </w:pPr>
      <w:r>
        <w:t xml:space="preserve">Así mismo del total ministrado de un importe de $ 620,822,718.58, fueron asignados presupuestalmente al capítulo 1000 de “Servicios Personales” un importe de       350,494,256.32, de los cuales se ejercieron al 31 de diciembre del 2020, un importe de $ 340,136,136.39, por lo que la diferencia entre lo presupuestado vs ejercido es de $ 10,358,119.93, lo anterior debido a que no se contaba con las reglas de operación para el 2020, motivo por el cual las dos primeras quincenas se aplicaron con distinta fuente de recursos. </w:t>
      </w:r>
    </w:p>
    <w:p w14:paraId="493E255E" w14:textId="77777777" w:rsidR="00A30021" w:rsidRDefault="00A30021" w:rsidP="00A30021">
      <w:pPr>
        <w:pStyle w:val="Texto"/>
        <w:ind w:left="284" w:firstLine="0"/>
      </w:pPr>
      <w:r>
        <w:t xml:space="preserve">De igual forma se informa que la Federación al 31 de diciembre de 2020, no </w:t>
      </w:r>
      <w:proofErr w:type="spellStart"/>
      <w:r>
        <w:t>a</w:t>
      </w:r>
      <w:proofErr w:type="spellEnd"/>
      <w:r>
        <w:t xml:space="preserve"> notificado la ministración del recurso en especie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en dicho Acuerdo.</w:t>
      </w:r>
    </w:p>
    <w:p w14:paraId="620EFA7C" w14:textId="77777777" w:rsidR="00AC7F8A" w:rsidRPr="00A30021" w:rsidRDefault="00AC7F8A" w:rsidP="00AC7F8A">
      <w:pPr>
        <w:pStyle w:val="Texto"/>
        <w:spacing w:after="0" w:line="240" w:lineRule="auto"/>
        <w:ind w:firstLine="289"/>
        <w:rPr>
          <w:b/>
          <w:szCs w:val="18"/>
        </w:rPr>
      </w:pPr>
    </w:p>
    <w:p w14:paraId="620EFA7D" w14:textId="77777777" w:rsidR="00AC7F8A" w:rsidRDefault="00AC7F8A" w:rsidP="00AC7F8A">
      <w:pPr>
        <w:pStyle w:val="Texto"/>
        <w:spacing w:after="0" w:line="240" w:lineRule="auto"/>
        <w:ind w:firstLine="289"/>
        <w:rPr>
          <w:b/>
          <w:szCs w:val="18"/>
        </w:rPr>
      </w:pPr>
      <w:r w:rsidRPr="00630DB0">
        <w:rPr>
          <w:b/>
          <w:szCs w:val="18"/>
          <w:lang w:val="es-MX"/>
        </w:rPr>
        <w:t>Responsabilidad Sobre la Presentación Razonable de la Información Contable</w:t>
      </w:r>
      <w:r w:rsidRPr="00630DB0">
        <w:rPr>
          <w:b/>
          <w:szCs w:val="18"/>
        </w:rPr>
        <w:t xml:space="preserve"> </w:t>
      </w:r>
    </w:p>
    <w:p w14:paraId="1A2E17B4" w14:textId="70A73D45" w:rsidR="005508C1" w:rsidRPr="00B32D71" w:rsidRDefault="00AC7F8A" w:rsidP="00B32D71">
      <w:pPr>
        <w:pStyle w:val="Texto"/>
        <w:spacing w:after="0" w:line="240" w:lineRule="exact"/>
        <w:ind w:left="284" w:firstLine="4"/>
        <w:rPr>
          <w:lang w:val="es-MX"/>
        </w:rPr>
      </w:pPr>
      <w:r w:rsidRPr="00B32D71">
        <w:rPr>
          <w:lang w:val="es-MX"/>
        </w:rPr>
        <w:t>Bajo protesta de decir verdad declaramos que los Estados Financieros y sus Notas</w:t>
      </w:r>
      <w:r w:rsidR="0089374A">
        <w:rPr>
          <w:lang w:val="es-MX"/>
        </w:rPr>
        <w:t>,</w:t>
      </w:r>
      <w:r w:rsidRPr="00B32D71">
        <w:rPr>
          <w:lang w:val="es-MX"/>
        </w:rPr>
        <w:t xml:space="preserve"> son razonablemente correctos y responsabilidad del emisor</w:t>
      </w:r>
      <w:r w:rsidR="00897E2F">
        <w:rPr>
          <w:lang w:val="es-MX"/>
        </w:rPr>
        <w:t>.</w:t>
      </w:r>
    </w:p>
    <w:p w14:paraId="620EFA7E" w14:textId="75501427" w:rsidR="00AC7F8A" w:rsidRDefault="00AC7F8A" w:rsidP="00AC7F8A">
      <w:pPr>
        <w:pStyle w:val="Texto"/>
        <w:spacing w:after="0" w:line="240" w:lineRule="auto"/>
        <w:ind w:firstLine="289"/>
        <w:rPr>
          <w:szCs w:val="18"/>
        </w:rPr>
      </w:pPr>
    </w:p>
    <w:p w14:paraId="620EFA85" w14:textId="77777777" w:rsidR="00A16749" w:rsidRDefault="00A16749" w:rsidP="00AC7F8A">
      <w:pPr>
        <w:pStyle w:val="Texto"/>
        <w:spacing w:after="0" w:line="240" w:lineRule="auto"/>
        <w:ind w:firstLine="289"/>
        <w:rPr>
          <w:szCs w:val="18"/>
          <w:lang w:val="es-MX"/>
        </w:rPr>
      </w:pPr>
    </w:p>
    <w:p w14:paraId="620EFA86" w14:textId="77777777" w:rsidR="00A16749" w:rsidRDefault="00A16749" w:rsidP="00AC7F8A">
      <w:pPr>
        <w:pStyle w:val="Texto"/>
        <w:spacing w:after="0" w:line="240" w:lineRule="auto"/>
        <w:ind w:firstLine="289"/>
        <w:rPr>
          <w:szCs w:val="18"/>
          <w:lang w:val="es-MX"/>
        </w:rPr>
      </w:pPr>
    </w:p>
    <w:p w14:paraId="620EFA87" w14:textId="77777777" w:rsidR="00AC7F8A" w:rsidRDefault="00AC7F8A" w:rsidP="00AC7F8A">
      <w:pPr>
        <w:pStyle w:val="Texto"/>
        <w:spacing w:after="0" w:line="240" w:lineRule="auto"/>
        <w:ind w:firstLine="289"/>
        <w:rPr>
          <w:szCs w:val="18"/>
          <w:lang w:val="es-MX"/>
        </w:rPr>
      </w:pPr>
    </w:p>
    <w:p w14:paraId="620EFA88" w14:textId="77777777" w:rsidR="00AC7F8A" w:rsidRDefault="00AC7F8A" w:rsidP="00AC7F8A">
      <w:pPr>
        <w:pStyle w:val="Texto"/>
        <w:spacing w:after="0" w:line="240" w:lineRule="auto"/>
        <w:ind w:firstLine="289"/>
        <w:rPr>
          <w:szCs w:val="18"/>
          <w:lang w:val="es-MX"/>
        </w:rPr>
      </w:pPr>
    </w:p>
    <w:p w14:paraId="620EFA89" w14:textId="77777777" w:rsidR="00AC7F8A" w:rsidRPr="00630DB0" w:rsidRDefault="00AC7F8A" w:rsidP="00AC7F8A">
      <w:pPr>
        <w:pStyle w:val="Texto"/>
        <w:spacing w:after="0" w:line="240" w:lineRule="auto"/>
        <w:ind w:firstLine="289"/>
        <w:rPr>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5033"/>
        <w:gridCol w:w="2379"/>
        <w:gridCol w:w="4893"/>
        <w:gridCol w:w="551"/>
      </w:tblGrid>
      <w:tr w:rsidR="00AC7F8A" w:rsidRPr="00630DB0" w14:paraId="620EFA8F" w14:textId="77777777" w:rsidTr="00AD6257">
        <w:trPr>
          <w:trHeight w:val="300"/>
        </w:trPr>
        <w:tc>
          <w:tcPr>
            <w:tcW w:w="959" w:type="dxa"/>
            <w:noWrap/>
            <w:hideMark/>
          </w:tcPr>
          <w:p w14:paraId="620EFA8A" w14:textId="77777777" w:rsidR="00AC7F8A" w:rsidRPr="00630DB0" w:rsidRDefault="00AC7F8A" w:rsidP="00AD6257">
            <w:pPr>
              <w:pStyle w:val="Texto"/>
              <w:spacing w:after="0" w:line="240" w:lineRule="auto"/>
              <w:ind w:firstLine="289"/>
              <w:rPr>
                <w:szCs w:val="18"/>
              </w:rPr>
            </w:pPr>
            <w:r w:rsidRPr="00630DB0">
              <w:rPr>
                <w:szCs w:val="18"/>
              </w:rPr>
              <w:t> </w:t>
            </w:r>
          </w:p>
        </w:tc>
        <w:tc>
          <w:tcPr>
            <w:tcW w:w="5103" w:type="dxa"/>
            <w:tcBorders>
              <w:top w:val="single" w:sz="4" w:space="0" w:color="auto"/>
            </w:tcBorders>
            <w:noWrap/>
            <w:hideMark/>
          </w:tcPr>
          <w:p w14:paraId="620EFA8B" w14:textId="76A03C44" w:rsidR="00AC7F8A" w:rsidRPr="00630DB0" w:rsidRDefault="00AC7F8A" w:rsidP="00AD6257">
            <w:pPr>
              <w:pStyle w:val="Texto"/>
              <w:spacing w:after="0" w:line="240" w:lineRule="auto"/>
              <w:ind w:firstLine="0"/>
              <w:jc w:val="center"/>
              <w:rPr>
                <w:szCs w:val="18"/>
              </w:rPr>
            </w:pPr>
            <w:r w:rsidRPr="00630DB0">
              <w:rPr>
                <w:szCs w:val="18"/>
              </w:rPr>
              <w:t xml:space="preserve">Dr. </w:t>
            </w:r>
            <w:r w:rsidR="00A81B77">
              <w:rPr>
                <w:szCs w:val="18"/>
              </w:rPr>
              <w:t>René Lima Morales</w:t>
            </w:r>
          </w:p>
        </w:tc>
        <w:tc>
          <w:tcPr>
            <w:tcW w:w="2410" w:type="dxa"/>
            <w:noWrap/>
            <w:hideMark/>
          </w:tcPr>
          <w:p w14:paraId="620EFA8C" w14:textId="77777777" w:rsidR="00AC7F8A" w:rsidRPr="00630DB0" w:rsidRDefault="00AC7F8A" w:rsidP="00AD6257">
            <w:pPr>
              <w:pStyle w:val="Texto"/>
              <w:spacing w:after="0" w:line="240" w:lineRule="auto"/>
              <w:ind w:firstLine="289"/>
              <w:jc w:val="center"/>
              <w:rPr>
                <w:szCs w:val="18"/>
              </w:rPr>
            </w:pPr>
          </w:p>
        </w:tc>
        <w:tc>
          <w:tcPr>
            <w:tcW w:w="4961" w:type="dxa"/>
            <w:tcBorders>
              <w:top w:val="single" w:sz="4" w:space="0" w:color="auto"/>
            </w:tcBorders>
            <w:noWrap/>
            <w:hideMark/>
          </w:tcPr>
          <w:p w14:paraId="620EFA8D" w14:textId="23A67B7A" w:rsidR="00AC7F8A" w:rsidRPr="00630DB0" w:rsidRDefault="001212A3" w:rsidP="00AD6257">
            <w:pPr>
              <w:pStyle w:val="Texto"/>
              <w:spacing w:after="0" w:line="240" w:lineRule="auto"/>
              <w:ind w:firstLine="0"/>
              <w:jc w:val="center"/>
              <w:rPr>
                <w:szCs w:val="18"/>
              </w:rPr>
            </w:pPr>
            <w:r w:rsidRPr="001212A3">
              <w:rPr>
                <w:szCs w:val="18"/>
              </w:rPr>
              <w:t>L.C.P. Giovanna Dy Aguilar Meza</w:t>
            </w:r>
          </w:p>
        </w:tc>
        <w:tc>
          <w:tcPr>
            <w:tcW w:w="425" w:type="dxa"/>
            <w:noWrap/>
            <w:hideMark/>
          </w:tcPr>
          <w:p w14:paraId="620EFA8E" w14:textId="77777777" w:rsidR="00AC7F8A" w:rsidRPr="00630DB0" w:rsidRDefault="00AC7F8A" w:rsidP="00AD6257">
            <w:pPr>
              <w:pStyle w:val="Texto"/>
              <w:spacing w:after="0" w:line="240" w:lineRule="auto"/>
              <w:ind w:firstLine="289"/>
              <w:rPr>
                <w:szCs w:val="18"/>
              </w:rPr>
            </w:pPr>
            <w:r w:rsidRPr="00630DB0">
              <w:rPr>
                <w:szCs w:val="18"/>
              </w:rPr>
              <w:t> </w:t>
            </w:r>
          </w:p>
        </w:tc>
      </w:tr>
      <w:tr w:rsidR="00AC7F8A" w:rsidRPr="00630DB0" w14:paraId="620EFA95" w14:textId="77777777" w:rsidTr="00AD6257">
        <w:trPr>
          <w:trHeight w:val="426"/>
        </w:trPr>
        <w:tc>
          <w:tcPr>
            <w:tcW w:w="959" w:type="dxa"/>
            <w:noWrap/>
            <w:hideMark/>
          </w:tcPr>
          <w:p w14:paraId="620EFA90" w14:textId="77777777" w:rsidR="00AC7F8A" w:rsidRPr="00630DB0" w:rsidRDefault="00AC7F8A" w:rsidP="00AD6257">
            <w:pPr>
              <w:pStyle w:val="Texto"/>
              <w:spacing w:after="0" w:line="240" w:lineRule="auto"/>
              <w:ind w:firstLine="289"/>
              <w:rPr>
                <w:szCs w:val="18"/>
              </w:rPr>
            </w:pPr>
            <w:r w:rsidRPr="00630DB0">
              <w:rPr>
                <w:szCs w:val="18"/>
              </w:rPr>
              <w:t> </w:t>
            </w:r>
          </w:p>
        </w:tc>
        <w:tc>
          <w:tcPr>
            <w:tcW w:w="5103" w:type="dxa"/>
            <w:hideMark/>
          </w:tcPr>
          <w:p w14:paraId="620EFA91" w14:textId="77777777" w:rsidR="00AC7F8A" w:rsidRPr="00630DB0" w:rsidRDefault="00AC7F8A" w:rsidP="00AD6257">
            <w:pPr>
              <w:pStyle w:val="Texto"/>
              <w:spacing w:after="0" w:line="240" w:lineRule="auto"/>
              <w:ind w:firstLine="0"/>
              <w:jc w:val="center"/>
              <w:rPr>
                <w:szCs w:val="18"/>
              </w:rPr>
            </w:pPr>
            <w:r w:rsidRPr="00630DB0">
              <w:rPr>
                <w:szCs w:val="18"/>
              </w:rPr>
              <w:t>Secretario de Salud y Director General del</w:t>
            </w:r>
            <w:r>
              <w:rPr>
                <w:szCs w:val="18"/>
              </w:rPr>
              <w:t xml:space="preserve"> </w:t>
            </w:r>
            <w:r w:rsidRPr="00630DB0">
              <w:rPr>
                <w:szCs w:val="18"/>
              </w:rPr>
              <w:t>O.P.D. Salud de Tlaxcala</w:t>
            </w:r>
          </w:p>
        </w:tc>
        <w:tc>
          <w:tcPr>
            <w:tcW w:w="2410" w:type="dxa"/>
            <w:noWrap/>
            <w:hideMark/>
          </w:tcPr>
          <w:p w14:paraId="620EFA92" w14:textId="77777777" w:rsidR="00AC7F8A" w:rsidRPr="00630DB0" w:rsidRDefault="00AC7F8A" w:rsidP="00AD6257">
            <w:pPr>
              <w:pStyle w:val="Texto"/>
              <w:spacing w:after="0" w:line="240" w:lineRule="auto"/>
              <w:ind w:firstLine="289"/>
              <w:jc w:val="center"/>
              <w:rPr>
                <w:szCs w:val="18"/>
              </w:rPr>
            </w:pPr>
          </w:p>
        </w:tc>
        <w:tc>
          <w:tcPr>
            <w:tcW w:w="4961" w:type="dxa"/>
            <w:hideMark/>
          </w:tcPr>
          <w:p w14:paraId="620EFA93" w14:textId="77777777" w:rsidR="00AC7F8A" w:rsidRPr="00630DB0" w:rsidRDefault="00AC7F8A" w:rsidP="00AD6257">
            <w:pPr>
              <w:pStyle w:val="Texto"/>
              <w:spacing w:after="0" w:line="240" w:lineRule="auto"/>
              <w:ind w:firstLine="0"/>
              <w:jc w:val="center"/>
              <w:rPr>
                <w:szCs w:val="18"/>
              </w:rPr>
            </w:pPr>
            <w:r w:rsidRPr="00630DB0">
              <w:rPr>
                <w:szCs w:val="18"/>
              </w:rPr>
              <w:t>Director</w:t>
            </w:r>
            <w:r>
              <w:rPr>
                <w:szCs w:val="18"/>
              </w:rPr>
              <w:t>a</w:t>
            </w:r>
            <w:r w:rsidRPr="00630DB0">
              <w:rPr>
                <w:szCs w:val="18"/>
              </w:rPr>
              <w:t xml:space="preserve"> de Administración de la Secretaría de Salud y O.P.D. Salud de Tlaxcala</w:t>
            </w:r>
          </w:p>
        </w:tc>
        <w:tc>
          <w:tcPr>
            <w:tcW w:w="425" w:type="dxa"/>
            <w:noWrap/>
            <w:hideMark/>
          </w:tcPr>
          <w:p w14:paraId="620EFA94" w14:textId="77777777" w:rsidR="00AC7F8A" w:rsidRPr="00630DB0" w:rsidRDefault="00AC7F8A" w:rsidP="00AD6257">
            <w:pPr>
              <w:pStyle w:val="Texto"/>
              <w:spacing w:after="0" w:line="240" w:lineRule="auto"/>
              <w:ind w:firstLine="289"/>
              <w:rPr>
                <w:szCs w:val="18"/>
              </w:rPr>
            </w:pPr>
            <w:r w:rsidRPr="00630DB0">
              <w:rPr>
                <w:szCs w:val="18"/>
              </w:rPr>
              <w:t> </w:t>
            </w:r>
          </w:p>
        </w:tc>
      </w:tr>
    </w:tbl>
    <w:p w14:paraId="620EFA97" w14:textId="77777777" w:rsidR="00001107" w:rsidRPr="006130D1" w:rsidRDefault="00001107" w:rsidP="00A30021">
      <w:pPr>
        <w:pStyle w:val="Texto"/>
        <w:spacing w:after="0" w:line="240" w:lineRule="exact"/>
        <w:rPr>
          <w:szCs w:val="18"/>
          <w:lang w:val="es-MX"/>
        </w:rPr>
      </w:pPr>
    </w:p>
    <w:sectPr w:rsidR="00001107" w:rsidRPr="006130D1" w:rsidSect="00083F22">
      <w:headerReference w:type="even" r:id="rId14"/>
      <w:headerReference w:type="default" r:id="rId15"/>
      <w:footerReference w:type="even" r:id="rId16"/>
      <w:footerReference w:type="default" r:id="rId17"/>
      <w:pgSz w:w="15840" w:h="12240" w:orient="landscape"/>
      <w:pgMar w:top="1440" w:right="95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91A5C" w14:textId="77777777" w:rsidR="0045656B" w:rsidRDefault="0045656B" w:rsidP="00EA5418">
      <w:pPr>
        <w:spacing w:after="0" w:line="240" w:lineRule="auto"/>
      </w:pPr>
      <w:r>
        <w:separator/>
      </w:r>
    </w:p>
  </w:endnote>
  <w:endnote w:type="continuationSeparator" w:id="0">
    <w:p w14:paraId="7D6A7387" w14:textId="77777777" w:rsidR="0045656B" w:rsidRDefault="0045656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FAAA" w14:textId="77777777" w:rsidR="00E831C3" w:rsidRPr="0013011C" w:rsidRDefault="00E831C3"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20EFAB3" wp14:editId="620EFAB4">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6D87A4"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" strokecolor="#632523" strokeweight="1.5pt"/>
          </w:pict>
        </mc:Fallback>
      </mc:AlternateContent>
    </w:r>
    <w:r w:rsidRPr="0013011C">
      <w:rPr>
        <w:rFonts w:ascii="Soberana Sans Light" w:hAnsi="Soberana Sans Light"/>
      </w:rPr>
      <w:t xml:space="preserve">Contable / </w:t>
    </w:r>
    <w:sdt>
      <w:sdtPr>
        <w:rPr>
          <w:rFonts w:ascii="Soberana Sans Light" w:hAnsi="Soberana Sans Light"/>
        </w:rPr>
        <w:id w:val="-1806847283"/>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Pr="00F02E61">
          <w:rPr>
            <w:rFonts w:ascii="Soberana Sans Light" w:hAnsi="Soberana Sans Light"/>
            <w:noProof/>
            <w:lang w:val="es-ES"/>
          </w:rPr>
          <w:t>20</w:t>
        </w:r>
        <w:r w:rsidRPr="0013011C">
          <w:rPr>
            <w:rFonts w:ascii="Soberana Sans Light" w:hAnsi="Soberana Sans Light"/>
          </w:rPr>
          <w:fldChar w:fldCharType="end"/>
        </w:r>
      </w:sdtContent>
    </w:sdt>
  </w:p>
  <w:p w14:paraId="620EFAAB" w14:textId="77777777" w:rsidR="00E831C3" w:rsidRDefault="00E831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FAAC" w14:textId="77777777" w:rsidR="00E831C3" w:rsidRPr="008E3652" w:rsidRDefault="00E831C3"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20EFAB5" wp14:editId="620EFAB6">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21FF8"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" strokecolor="#632523" strokeweight="1.5pt"/>
          </w:pict>
        </mc:Fallback>
      </mc:AlternateContent>
    </w:r>
    <w:sdt>
      <w:sdtPr>
        <w:rPr>
          <w:rFonts w:ascii="Soberana Sans Light" w:hAnsi="Soberana Sans Light"/>
        </w:rPr>
        <w:id w:val="-905222327"/>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Pr="00F02E61">
          <w:rPr>
            <w:rFonts w:ascii="Soberana Sans Light" w:hAnsi="Soberana Sans Light"/>
            <w:noProof/>
            <w:lang w:val="es-ES"/>
          </w:rPr>
          <w:t>21</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5199" w14:textId="77777777" w:rsidR="0045656B" w:rsidRDefault="0045656B" w:rsidP="00EA5418">
      <w:pPr>
        <w:spacing w:after="0" w:line="240" w:lineRule="auto"/>
      </w:pPr>
      <w:r>
        <w:separator/>
      </w:r>
    </w:p>
  </w:footnote>
  <w:footnote w:type="continuationSeparator" w:id="0">
    <w:p w14:paraId="359B2837" w14:textId="77777777" w:rsidR="0045656B" w:rsidRDefault="0045656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FAA8" w14:textId="77777777" w:rsidR="00E831C3" w:rsidRDefault="00E831C3">
    <w:pPr>
      <w:pStyle w:val="Encabezado"/>
    </w:pPr>
    <w:r>
      <w:rPr>
        <w:noProof/>
        <w:lang w:eastAsia="es-MX"/>
      </w:rPr>
      <mc:AlternateContent>
        <mc:Choice Requires="wpg">
          <w:drawing>
            <wp:anchor distT="0" distB="0" distL="114300" distR="114300" simplePos="0" relativeHeight="251665408" behindDoc="0" locked="0" layoutInCell="1" allowOverlap="1" wp14:anchorId="620EFAAD" wp14:editId="620EFAAE">
              <wp:simplePos x="0" y="0"/>
              <wp:positionH relativeFrom="column">
                <wp:posOffset>1968335</wp:posOffset>
              </wp:positionH>
              <wp:positionV relativeFrom="paragraph">
                <wp:posOffset>-277388</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EFABD" w14:textId="77777777" w:rsidR="00E831C3" w:rsidRDefault="00E831C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20EFABE" w14:textId="77777777" w:rsidR="00E831C3" w:rsidRDefault="00E831C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20EFABF" w14:textId="77777777" w:rsidR="00E831C3" w:rsidRPr="00275FC6" w:rsidRDefault="00E831C3"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EFAC0" w14:textId="14A0BDD1" w:rsidR="00E831C3" w:rsidRDefault="00E831C3"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20</w:t>
                              </w:r>
                            </w:p>
                            <w:p w14:paraId="620EFAC1" w14:textId="77777777" w:rsidR="00E831C3" w:rsidRDefault="00E831C3"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20EFAC2" w14:textId="77777777" w:rsidR="00E831C3" w:rsidRPr="00275FC6" w:rsidRDefault="00E831C3"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20EFAAD" id="6 Grupo" o:spid="_x0000_s1026" style="position:absolute;margin-left:155pt;margin-top:-21.8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20EFABD" w14:textId="77777777" w:rsidR="0006654C" w:rsidRDefault="0006654C"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20EFABE" w14:textId="77777777" w:rsidR="0006654C" w:rsidRDefault="0006654C"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20EFABF" w14:textId="77777777" w:rsidR="0006654C" w:rsidRPr="00275FC6" w:rsidRDefault="0006654C"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20EFAC0" w14:textId="14A0BDD1" w:rsidR="0006654C" w:rsidRDefault="0006654C"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20</w:t>
                        </w:r>
                      </w:p>
                      <w:p w14:paraId="620EFAC1" w14:textId="77777777" w:rsidR="0006654C" w:rsidRDefault="0006654C"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20EFAC2" w14:textId="77777777" w:rsidR="0006654C" w:rsidRPr="00275FC6" w:rsidRDefault="0006654C"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20EFAAF" wp14:editId="620EFAB0">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58CF1"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" strokecolor="#632523"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FAA9" w14:textId="77777777" w:rsidR="00E831C3" w:rsidRPr="0013011C" w:rsidRDefault="00E831C3"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48000" behindDoc="0" locked="0" layoutInCell="1" allowOverlap="1" wp14:anchorId="620EFAB1" wp14:editId="620EFAB2">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FC58CF" id="1 Conector recto" o:spid="_x0000_s1026" style="position:absolute;flip:y;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" strokecolor="#632523" strokeweight="1.5pt"/>
          </w:pict>
        </mc:Fallback>
      </mc:AlternateContent>
    </w:r>
    <w:r>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9235515"/>
    <w:multiLevelType w:val="hybridMultilevel"/>
    <w:tmpl w:val="739224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26DB"/>
    <w:rsid w:val="00003BED"/>
    <w:rsid w:val="000120B5"/>
    <w:rsid w:val="00012D7C"/>
    <w:rsid w:val="00022F30"/>
    <w:rsid w:val="000240AB"/>
    <w:rsid w:val="00026275"/>
    <w:rsid w:val="0002764A"/>
    <w:rsid w:val="00032F70"/>
    <w:rsid w:val="00033B87"/>
    <w:rsid w:val="00033FA2"/>
    <w:rsid w:val="00034DE7"/>
    <w:rsid w:val="000358A7"/>
    <w:rsid w:val="000365F5"/>
    <w:rsid w:val="00040466"/>
    <w:rsid w:val="0004162A"/>
    <w:rsid w:val="00041D47"/>
    <w:rsid w:val="00043178"/>
    <w:rsid w:val="0004354B"/>
    <w:rsid w:val="00045A10"/>
    <w:rsid w:val="0004695A"/>
    <w:rsid w:val="00047568"/>
    <w:rsid w:val="00051D68"/>
    <w:rsid w:val="00054F1E"/>
    <w:rsid w:val="00055830"/>
    <w:rsid w:val="00057368"/>
    <w:rsid w:val="00060117"/>
    <w:rsid w:val="0006056E"/>
    <w:rsid w:val="0006654C"/>
    <w:rsid w:val="00075041"/>
    <w:rsid w:val="00082C0D"/>
    <w:rsid w:val="00083F22"/>
    <w:rsid w:val="000A44DB"/>
    <w:rsid w:val="000A45F6"/>
    <w:rsid w:val="000A5FCF"/>
    <w:rsid w:val="000B1720"/>
    <w:rsid w:val="000B6C7A"/>
    <w:rsid w:val="000C02B3"/>
    <w:rsid w:val="000C2891"/>
    <w:rsid w:val="000C464D"/>
    <w:rsid w:val="000C5DCB"/>
    <w:rsid w:val="000C6DC8"/>
    <w:rsid w:val="000D1497"/>
    <w:rsid w:val="000D5AE3"/>
    <w:rsid w:val="000E0F57"/>
    <w:rsid w:val="000E536D"/>
    <w:rsid w:val="000E6587"/>
    <w:rsid w:val="000F162D"/>
    <w:rsid w:val="000F28C1"/>
    <w:rsid w:val="000F34EC"/>
    <w:rsid w:val="000F4F8C"/>
    <w:rsid w:val="000F59F8"/>
    <w:rsid w:val="000F7C75"/>
    <w:rsid w:val="00100132"/>
    <w:rsid w:val="00102D24"/>
    <w:rsid w:val="0010753A"/>
    <w:rsid w:val="0011163A"/>
    <w:rsid w:val="00112821"/>
    <w:rsid w:val="00112900"/>
    <w:rsid w:val="00114A66"/>
    <w:rsid w:val="001158FB"/>
    <w:rsid w:val="00120DE9"/>
    <w:rsid w:val="001212A3"/>
    <w:rsid w:val="0013011C"/>
    <w:rsid w:val="00133BE7"/>
    <w:rsid w:val="00134A99"/>
    <w:rsid w:val="001366B8"/>
    <w:rsid w:val="0014070C"/>
    <w:rsid w:val="00140D99"/>
    <w:rsid w:val="00144A4C"/>
    <w:rsid w:val="00147005"/>
    <w:rsid w:val="0015416F"/>
    <w:rsid w:val="00155609"/>
    <w:rsid w:val="00155D2E"/>
    <w:rsid w:val="00165BB4"/>
    <w:rsid w:val="00170684"/>
    <w:rsid w:val="00170C1D"/>
    <w:rsid w:val="00171C23"/>
    <w:rsid w:val="001768FA"/>
    <w:rsid w:val="00176993"/>
    <w:rsid w:val="00182889"/>
    <w:rsid w:val="0019169A"/>
    <w:rsid w:val="0019580B"/>
    <w:rsid w:val="001A2994"/>
    <w:rsid w:val="001A3EB2"/>
    <w:rsid w:val="001A3FF6"/>
    <w:rsid w:val="001A4358"/>
    <w:rsid w:val="001A5B66"/>
    <w:rsid w:val="001A7781"/>
    <w:rsid w:val="001A7FF1"/>
    <w:rsid w:val="001B03C7"/>
    <w:rsid w:val="001B1B72"/>
    <w:rsid w:val="001B3610"/>
    <w:rsid w:val="001C21BB"/>
    <w:rsid w:val="001C26AA"/>
    <w:rsid w:val="001C2DEA"/>
    <w:rsid w:val="001C45A6"/>
    <w:rsid w:val="001C6FD8"/>
    <w:rsid w:val="001D64A5"/>
    <w:rsid w:val="001E4CC8"/>
    <w:rsid w:val="001E5882"/>
    <w:rsid w:val="001E6AFC"/>
    <w:rsid w:val="001E7072"/>
    <w:rsid w:val="001F011A"/>
    <w:rsid w:val="001F2C9A"/>
    <w:rsid w:val="001F627C"/>
    <w:rsid w:val="00204C86"/>
    <w:rsid w:val="0021009F"/>
    <w:rsid w:val="00211B45"/>
    <w:rsid w:val="00213DCE"/>
    <w:rsid w:val="00214D3F"/>
    <w:rsid w:val="002248A6"/>
    <w:rsid w:val="00227B7C"/>
    <w:rsid w:val="00227CA0"/>
    <w:rsid w:val="00232EA6"/>
    <w:rsid w:val="00242DC8"/>
    <w:rsid w:val="00247CA8"/>
    <w:rsid w:val="00247E6C"/>
    <w:rsid w:val="002509E8"/>
    <w:rsid w:val="00264426"/>
    <w:rsid w:val="002644BD"/>
    <w:rsid w:val="002715B0"/>
    <w:rsid w:val="002728B8"/>
    <w:rsid w:val="00273C91"/>
    <w:rsid w:val="00274905"/>
    <w:rsid w:val="0027528C"/>
    <w:rsid w:val="00280993"/>
    <w:rsid w:val="002839FB"/>
    <w:rsid w:val="00283B02"/>
    <w:rsid w:val="00285012"/>
    <w:rsid w:val="002872EC"/>
    <w:rsid w:val="00290B13"/>
    <w:rsid w:val="002972AA"/>
    <w:rsid w:val="002A179B"/>
    <w:rsid w:val="002A29FA"/>
    <w:rsid w:val="002A5938"/>
    <w:rsid w:val="002A70B3"/>
    <w:rsid w:val="002B14A4"/>
    <w:rsid w:val="002B25BC"/>
    <w:rsid w:val="002B2BD7"/>
    <w:rsid w:val="002B33FC"/>
    <w:rsid w:val="002B3AF4"/>
    <w:rsid w:val="002B46F5"/>
    <w:rsid w:val="002B7D2E"/>
    <w:rsid w:val="002C012E"/>
    <w:rsid w:val="002C2EA9"/>
    <w:rsid w:val="002C34A7"/>
    <w:rsid w:val="002C6BD8"/>
    <w:rsid w:val="002D1811"/>
    <w:rsid w:val="002D1E17"/>
    <w:rsid w:val="002D2D80"/>
    <w:rsid w:val="002D6D41"/>
    <w:rsid w:val="002E2914"/>
    <w:rsid w:val="002E38A5"/>
    <w:rsid w:val="002E5ED2"/>
    <w:rsid w:val="002F2346"/>
    <w:rsid w:val="002F3894"/>
    <w:rsid w:val="002F4067"/>
    <w:rsid w:val="003018C5"/>
    <w:rsid w:val="003044E6"/>
    <w:rsid w:val="003105A5"/>
    <w:rsid w:val="00311750"/>
    <w:rsid w:val="0031232F"/>
    <w:rsid w:val="003150CC"/>
    <w:rsid w:val="00316766"/>
    <w:rsid w:val="00316A81"/>
    <w:rsid w:val="003206ED"/>
    <w:rsid w:val="003211CB"/>
    <w:rsid w:val="00323DA4"/>
    <w:rsid w:val="00327241"/>
    <w:rsid w:val="00336532"/>
    <w:rsid w:val="003428E7"/>
    <w:rsid w:val="00343090"/>
    <w:rsid w:val="0035051D"/>
    <w:rsid w:val="003535EC"/>
    <w:rsid w:val="00362148"/>
    <w:rsid w:val="00367C3F"/>
    <w:rsid w:val="00372F40"/>
    <w:rsid w:val="003753AD"/>
    <w:rsid w:val="00383209"/>
    <w:rsid w:val="00387376"/>
    <w:rsid w:val="0038789E"/>
    <w:rsid w:val="00390AEF"/>
    <w:rsid w:val="003966F6"/>
    <w:rsid w:val="00396C2B"/>
    <w:rsid w:val="003A0303"/>
    <w:rsid w:val="003A1877"/>
    <w:rsid w:val="003A5953"/>
    <w:rsid w:val="003B03F9"/>
    <w:rsid w:val="003B2EB5"/>
    <w:rsid w:val="003C1E83"/>
    <w:rsid w:val="003C398A"/>
    <w:rsid w:val="003C3F18"/>
    <w:rsid w:val="003D08C0"/>
    <w:rsid w:val="003D0B51"/>
    <w:rsid w:val="003D5DBF"/>
    <w:rsid w:val="003D6B78"/>
    <w:rsid w:val="003E5CD4"/>
    <w:rsid w:val="003E7FD0"/>
    <w:rsid w:val="003F0EA4"/>
    <w:rsid w:val="003F1C15"/>
    <w:rsid w:val="003F3006"/>
    <w:rsid w:val="003F4D7A"/>
    <w:rsid w:val="003F786B"/>
    <w:rsid w:val="0040646F"/>
    <w:rsid w:val="0040666E"/>
    <w:rsid w:val="00417393"/>
    <w:rsid w:val="00420E80"/>
    <w:rsid w:val="00421166"/>
    <w:rsid w:val="0042374F"/>
    <w:rsid w:val="00430D57"/>
    <w:rsid w:val="004311BE"/>
    <w:rsid w:val="00434CDC"/>
    <w:rsid w:val="004354AD"/>
    <w:rsid w:val="0043609B"/>
    <w:rsid w:val="00441D24"/>
    <w:rsid w:val="00441F6E"/>
    <w:rsid w:val="0044253C"/>
    <w:rsid w:val="004431B3"/>
    <w:rsid w:val="00444E9B"/>
    <w:rsid w:val="00445D13"/>
    <w:rsid w:val="00450142"/>
    <w:rsid w:val="0045167D"/>
    <w:rsid w:val="0045656B"/>
    <w:rsid w:val="004572C7"/>
    <w:rsid w:val="0045752B"/>
    <w:rsid w:val="00463C34"/>
    <w:rsid w:val="0046720D"/>
    <w:rsid w:val="0046745F"/>
    <w:rsid w:val="00467D58"/>
    <w:rsid w:val="004714CF"/>
    <w:rsid w:val="004768A2"/>
    <w:rsid w:val="00481922"/>
    <w:rsid w:val="00483407"/>
    <w:rsid w:val="00483D82"/>
    <w:rsid w:val="00484C0D"/>
    <w:rsid w:val="0048534C"/>
    <w:rsid w:val="00486959"/>
    <w:rsid w:val="00491B3D"/>
    <w:rsid w:val="00493D6A"/>
    <w:rsid w:val="004967EE"/>
    <w:rsid w:val="00497D8B"/>
    <w:rsid w:val="004A4D4D"/>
    <w:rsid w:val="004A51C2"/>
    <w:rsid w:val="004A7C02"/>
    <w:rsid w:val="004B1F59"/>
    <w:rsid w:val="004B785F"/>
    <w:rsid w:val="004B7C96"/>
    <w:rsid w:val="004C322C"/>
    <w:rsid w:val="004D2257"/>
    <w:rsid w:val="004D41B8"/>
    <w:rsid w:val="004D4B95"/>
    <w:rsid w:val="004E0C52"/>
    <w:rsid w:val="004E271E"/>
    <w:rsid w:val="004E68A3"/>
    <w:rsid w:val="004F10D5"/>
    <w:rsid w:val="004F182E"/>
    <w:rsid w:val="004F5641"/>
    <w:rsid w:val="0050065A"/>
    <w:rsid w:val="00503FF5"/>
    <w:rsid w:val="005044CA"/>
    <w:rsid w:val="00507531"/>
    <w:rsid w:val="00511376"/>
    <w:rsid w:val="00514D0A"/>
    <w:rsid w:val="00516DD0"/>
    <w:rsid w:val="0051734E"/>
    <w:rsid w:val="00522632"/>
    <w:rsid w:val="00522EF3"/>
    <w:rsid w:val="00523296"/>
    <w:rsid w:val="0053393A"/>
    <w:rsid w:val="00536C46"/>
    <w:rsid w:val="00540418"/>
    <w:rsid w:val="00542E8C"/>
    <w:rsid w:val="005430E9"/>
    <w:rsid w:val="00543729"/>
    <w:rsid w:val="005460C7"/>
    <w:rsid w:val="00546D3F"/>
    <w:rsid w:val="005508C1"/>
    <w:rsid w:val="00551C31"/>
    <w:rsid w:val="005614C3"/>
    <w:rsid w:val="00561D8D"/>
    <w:rsid w:val="00562914"/>
    <w:rsid w:val="00565193"/>
    <w:rsid w:val="0056601E"/>
    <w:rsid w:val="0057306A"/>
    <w:rsid w:val="005737CC"/>
    <w:rsid w:val="00574266"/>
    <w:rsid w:val="00582401"/>
    <w:rsid w:val="005844D0"/>
    <w:rsid w:val="0059131E"/>
    <w:rsid w:val="00591D51"/>
    <w:rsid w:val="00592BF9"/>
    <w:rsid w:val="005979E1"/>
    <w:rsid w:val="005A2DD6"/>
    <w:rsid w:val="005A7647"/>
    <w:rsid w:val="005B3F10"/>
    <w:rsid w:val="005B4F6D"/>
    <w:rsid w:val="005B7AEF"/>
    <w:rsid w:val="005C08E2"/>
    <w:rsid w:val="005C09F0"/>
    <w:rsid w:val="005C0FD1"/>
    <w:rsid w:val="005C41CB"/>
    <w:rsid w:val="005D0642"/>
    <w:rsid w:val="005D15F7"/>
    <w:rsid w:val="005D3D25"/>
    <w:rsid w:val="005D40ED"/>
    <w:rsid w:val="005D423E"/>
    <w:rsid w:val="005E4A89"/>
    <w:rsid w:val="005F6CB5"/>
    <w:rsid w:val="00604B87"/>
    <w:rsid w:val="00606214"/>
    <w:rsid w:val="00610A05"/>
    <w:rsid w:val="00611646"/>
    <w:rsid w:val="00612580"/>
    <w:rsid w:val="006130D1"/>
    <w:rsid w:val="006132C4"/>
    <w:rsid w:val="0061484D"/>
    <w:rsid w:val="006227B7"/>
    <w:rsid w:val="00624EFC"/>
    <w:rsid w:val="0062599C"/>
    <w:rsid w:val="00630DB0"/>
    <w:rsid w:val="00630E71"/>
    <w:rsid w:val="006378AC"/>
    <w:rsid w:val="006378D4"/>
    <w:rsid w:val="00644858"/>
    <w:rsid w:val="00654661"/>
    <w:rsid w:val="00656FCB"/>
    <w:rsid w:val="0065734C"/>
    <w:rsid w:val="0065735D"/>
    <w:rsid w:val="006573E9"/>
    <w:rsid w:val="00657CC2"/>
    <w:rsid w:val="00663864"/>
    <w:rsid w:val="0066637B"/>
    <w:rsid w:val="0066705D"/>
    <w:rsid w:val="00670C07"/>
    <w:rsid w:val="00672F24"/>
    <w:rsid w:val="00673328"/>
    <w:rsid w:val="0067785B"/>
    <w:rsid w:val="00680196"/>
    <w:rsid w:val="00681BC1"/>
    <w:rsid w:val="006838BE"/>
    <w:rsid w:val="00692A0E"/>
    <w:rsid w:val="00694C68"/>
    <w:rsid w:val="006A2B9B"/>
    <w:rsid w:val="006A49E2"/>
    <w:rsid w:val="006B00A8"/>
    <w:rsid w:val="006B03C7"/>
    <w:rsid w:val="006B0F9E"/>
    <w:rsid w:val="006B1FE7"/>
    <w:rsid w:val="006B5370"/>
    <w:rsid w:val="006C0AA4"/>
    <w:rsid w:val="006D3565"/>
    <w:rsid w:val="006D3D98"/>
    <w:rsid w:val="006D75EB"/>
    <w:rsid w:val="006E3C41"/>
    <w:rsid w:val="006E72A4"/>
    <w:rsid w:val="006E77DD"/>
    <w:rsid w:val="006E7920"/>
    <w:rsid w:val="006F0AF4"/>
    <w:rsid w:val="006F79A6"/>
    <w:rsid w:val="00700F4B"/>
    <w:rsid w:val="00704EA3"/>
    <w:rsid w:val="007060EC"/>
    <w:rsid w:val="0071021A"/>
    <w:rsid w:val="00710A7E"/>
    <w:rsid w:val="007168DC"/>
    <w:rsid w:val="00717EA0"/>
    <w:rsid w:val="0072046B"/>
    <w:rsid w:val="00720615"/>
    <w:rsid w:val="007235DA"/>
    <w:rsid w:val="00730D1F"/>
    <w:rsid w:val="007325AB"/>
    <w:rsid w:val="00733E22"/>
    <w:rsid w:val="007347F2"/>
    <w:rsid w:val="00742A44"/>
    <w:rsid w:val="007542C6"/>
    <w:rsid w:val="0075444D"/>
    <w:rsid w:val="007651FC"/>
    <w:rsid w:val="0076560D"/>
    <w:rsid w:val="00772421"/>
    <w:rsid w:val="00776A5E"/>
    <w:rsid w:val="00786DD6"/>
    <w:rsid w:val="0079173A"/>
    <w:rsid w:val="007932A8"/>
    <w:rsid w:val="0079582C"/>
    <w:rsid w:val="0079784C"/>
    <w:rsid w:val="007A05F1"/>
    <w:rsid w:val="007A13E7"/>
    <w:rsid w:val="007A2301"/>
    <w:rsid w:val="007A508F"/>
    <w:rsid w:val="007A604A"/>
    <w:rsid w:val="007B1D11"/>
    <w:rsid w:val="007B34AE"/>
    <w:rsid w:val="007B44D0"/>
    <w:rsid w:val="007B4A9C"/>
    <w:rsid w:val="007B55B7"/>
    <w:rsid w:val="007C2F9B"/>
    <w:rsid w:val="007C410F"/>
    <w:rsid w:val="007D1988"/>
    <w:rsid w:val="007D4CEC"/>
    <w:rsid w:val="007D6E9A"/>
    <w:rsid w:val="007E0EC3"/>
    <w:rsid w:val="007E57C4"/>
    <w:rsid w:val="007F092B"/>
    <w:rsid w:val="007F1239"/>
    <w:rsid w:val="007F13E6"/>
    <w:rsid w:val="007F149B"/>
    <w:rsid w:val="007F3979"/>
    <w:rsid w:val="008043B4"/>
    <w:rsid w:val="008059CC"/>
    <w:rsid w:val="00806176"/>
    <w:rsid w:val="00806660"/>
    <w:rsid w:val="00806697"/>
    <w:rsid w:val="00810D53"/>
    <w:rsid w:val="00811DAC"/>
    <w:rsid w:val="00812286"/>
    <w:rsid w:val="0081357D"/>
    <w:rsid w:val="00814453"/>
    <w:rsid w:val="0081687D"/>
    <w:rsid w:val="00817AB1"/>
    <w:rsid w:val="00820BF5"/>
    <w:rsid w:val="00823529"/>
    <w:rsid w:val="00830F2E"/>
    <w:rsid w:val="00836935"/>
    <w:rsid w:val="00851A7B"/>
    <w:rsid w:val="008520E2"/>
    <w:rsid w:val="008546A7"/>
    <w:rsid w:val="00855D30"/>
    <w:rsid w:val="00857F54"/>
    <w:rsid w:val="00861059"/>
    <w:rsid w:val="00863EC2"/>
    <w:rsid w:val="00864C77"/>
    <w:rsid w:val="0087417A"/>
    <w:rsid w:val="00875B22"/>
    <w:rsid w:val="00882580"/>
    <w:rsid w:val="00885043"/>
    <w:rsid w:val="00886D08"/>
    <w:rsid w:val="0089054E"/>
    <w:rsid w:val="0089374A"/>
    <w:rsid w:val="00897593"/>
    <w:rsid w:val="00897E2F"/>
    <w:rsid w:val="008A0814"/>
    <w:rsid w:val="008A0B66"/>
    <w:rsid w:val="008A0D7D"/>
    <w:rsid w:val="008A0EFE"/>
    <w:rsid w:val="008A4348"/>
    <w:rsid w:val="008A4AC1"/>
    <w:rsid w:val="008A6E4D"/>
    <w:rsid w:val="008A793D"/>
    <w:rsid w:val="008B0017"/>
    <w:rsid w:val="008B67C0"/>
    <w:rsid w:val="008B70B2"/>
    <w:rsid w:val="008C0E18"/>
    <w:rsid w:val="008C27FC"/>
    <w:rsid w:val="008C3328"/>
    <w:rsid w:val="008C45D9"/>
    <w:rsid w:val="008C517F"/>
    <w:rsid w:val="008C68CC"/>
    <w:rsid w:val="008D3017"/>
    <w:rsid w:val="008D3556"/>
    <w:rsid w:val="008E3157"/>
    <w:rsid w:val="008E3652"/>
    <w:rsid w:val="008E79E2"/>
    <w:rsid w:val="008F56CF"/>
    <w:rsid w:val="008F6D58"/>
    <w:rsid w:val="00901BC6"/>
    <w:rsid w:val="009036B9"/>
    <w:rsid w:val="009037B9"/>
    <w:rsid w:val="00907F5D"/>
    <w:rsid w:val="00914DAC"/>
    <w:rsid w:val="00915012"/>
    <w:rsid w:val="00915DDB"/>
    <w:rsid w:val="00920882"/>
    <w:rsid w:val="009279F5"/>
    <w:rsid w:val="00927A9F"/>
    <w:rsid w:val="00930946"/>
    <w:rsid w:val="00931ADC"/>
    <w:rsid w:val="0093492C"/>
    <w:rsid w:val="00935557"/>
    <w:rsid w:val="0093708D"/>
    <w:rsid w:val="00937214"/>
    <w:rsid w:val="00951CEF"/>
    <w:rsid w:val="00954487"/>
    <w:rsid w:val="009550C9"/>
    <w:rsid w:val="00957043"/>
    <w:rsid w:val="009632E1"/>
    <w:rsid w:val="00966BB7"/>
    <w:rsid w:val="009707CA"/>
    <w:rsid w:val="009711C5"/>
    <w:rsid w:val="00975301"/>
    <w:rsid w:val="0098098D"/>
    <w:rsid w:val="00994CB8"/>
    <w:rsid w:val="009A05FB"/>
    <w:rsid w:val="009A130C"/>
    <w:rsid w:val="009A1343"/>
    <w:rsid w:val="009A5962"/>
    <w:rsid w:val="009A678C"/>
    <w:rsid w:val="009A7D45"/>
    <w:rsid w:val="009B20BA"/>
    <w:rsid w:val="009B62EA"/>
    <w:rsid w:val="009C3049"/>
    <w:rsid w:val="009C4223"/>
    <w:rsid w:val="009C573E"/>
    <w:rsid w:val="009D5D4C"/>
    <w:rsid w:val="009F12D8"/>
    <w:rsid w:val="009F23C4"/>
    <w:rsid w:val="009F366B"/>
    <w:rsid w:val="009F3E7F"/>
    <w:rsid w:val="009F3EE7"/>
    <w:rsid w:val="009F42C1"/>
    <w:rsid w:val="009F5B38"/>
    <w:rsid w:val="009F624E"/>
    <w:rsid w:val="009F6FEF"/>
    <w:rsid w:val="009F78EF"/>
    <w:rsid w:val="00A01452"/>
    <w:rsid w:val="00A0339D"/>
    <w:rsid w:val="00A044AE"/>
    <w:rsid w:val="00A055E1"/>
    <w:rsid w:val="00A07367"/>
    <w:rsid w:val="00A07D5D"/>
    <w:rsid w:val="00A10FE3"/>
    <w:rsid w:val="00A124AC"/>
    <w:rsid w:val="00A16749"/>
    <w:rsid w:val="00A21F50"/>
    <w:rsid w:val="00A234CB"/>
    <w:rsid w:val="00A25ADC"/>
    <w:rsid w:val="00A27BC6"/>
    <w:rsid w:val="00A30021"/>
    <w:rsid w:val="00A32225"/>
    <w:rsid w:val="00A330BA"/>
    <w:rsid w:val="00A363B6"/>
    <w:rsid w:val="00A44536"/>
    <w:rsid w:val="00A4512A"/>
    <w:rsid w:val="00A46BF5"/>
    <w:rsid w:val="00A530D4"/>
    <w:rsid w:val="00A55D2D"/>
    <w:rsid w:val="00A56160"/>
    <w:rsid w:val="00A57447"/>
    <w:rsid w:val="00A57FFE"/>
    <w:rsid w:val="00A6658B"/>
    <w:rsid w:val="00A75C91"/>
    <w:rsid w:val="00A8130E"/>
    <w:rsid w:val="00A81353"/>
    <w:rsid w:val="00A81B77"/>
    <w:rsid w:val="00A82230"/>
    <w:rsid w:val="00A82512"/>
    <w:rsid w:val="00A840B7"/>
    <w:rsid w:val="00A85CF9"/>
    <w:rsid w:val="00A9067D"/>
    <w:rsid w:val="00AA12E4"/>
    <w:rsid w:val="00AA1650"/>
    <w:rsid w:val="00AA49DC"/>
    <w:rsid w:val="00AB16A0"/>
    <w:rsid w:val="00AB75AA"/>
    <w:rsid w:val="00AC6DF9"/>
    <w:rsid w:val="00AC7C83"/>
    <w:rsid w:val="00AC7F8A"/>
    <w:rsid w:val="00AD2835"/>
    <w:rsid w:val="00AD3D94"/>
    <w:rsid w:val="00AD4215"/>
    <w:rsid w:val="00AD6135"/>
    <w:rsid w:val="00AD6257"/>
    <w:rsid w:val="00AD6925"/>
    <w:rsid w:val="00AE04B4"/>
    <w:rsid w:val="00AE41E6"/>
    <w:rsid w:val="00AF08DA"/>
    <w:rsid w:val="00AF7427"/>
    <w:rsid w:val="00AF7BC4"/>
    <w:rsid w:val="00B01B8A"/>
    <w:rsid w:val="00B02C2E"/>
    <w:rsid w:val="00B0692C"/>
    <w:rsid w:val="00B11341"/>
    <w:rsid w:val="00B146E2"/>
    <w:rsid w:val="00B16510"/>
    <w:rsid w:val="00B16CA3"/>
    <w:rsid w:val="00B17922"/>
    <w:rsid w:val="00B202FF"/>
    <w:rsid w:val="00B218CC"/>
    <w:rsid w:val="00B220A3"/>
    <w:rsid w:val="00B2483B"/>
    <w:rsid w:val="00B2512A"/>
    <w:rsid w:val="00B26D48"/>
    <w:rsid w:val="00B275E6"/>
    <w:rsid w:val="00B27ACE"/>
    <w:rsid w:val="00B32D71"/>
    <w:rsid w:val="00B4123B"/>
    <w:rsid w:val="00B44853"/>
    <w:rsid w:val="00B4579C"/>
    <w:rsid w:val="00B46594"/>
    <w:rsid w:val="00B528E3"/>
    <w:rsid w:val="00B54E5A"/>
    <w:rsid w:val="00B555E6"/>
    <w:rsid w:val="00B801F3"/>
    <w:rsid w:val="00B803CE"/>
    <w:rsid w:val="00B8048F"/>
    <w:rsid w:val="00B83454"/>
    <w:rsid w:val="00B849EE"/>
    <w:rsid w:val="00B84D02"/>
    <w:rsid w:val="00B85CCE"/>
    <w:rsid w:val="00B86E68"/>
    <w:rsid w:val="00B951BF"/>
    <w:rsid w:val="00B9544F"/>
    <w:rsid w:val="00B96A94"/>
    <w:rsid w:val="00B96CFE"/>
    <w:rsid w:val="00BA03B3"/>
    <w:rsid w:val="00BA2940"/>
    <w:rsid w:val="00BA2F86"/>
    <w:rsid w:val="00BA75F8"/>
    <w:rsid w:val="00BA7C84"/>
    <w:rsid w:val="00BB0B8C"/>
    <w:rsid w:val="00BB3E16"/>
    <w:rsid w:val="00BC3E47"/>
    <w:rsid w:val="00BC5F50"/>
    <w:rsid w:val="00BD0F69"/>
    <w:rsid w:val="00BD71CE"/>
    <w:rsid w:val="00BD7CBA"/>
    <w:rsid w:val="00BE020E"/>
    <w:rsid w:val="00BE20B2"/>
    <w:rsid w:val="00BE5EFD"/>
    <w:rsid w:val="00BF3768"/>
    <w:rsid w:val="00BF7EDE"/>
    <w:rsid w:val="00C0073A"/>
    <w:rsid w:val="00C12A1D"/>
    <w:rsid w:val="00C13568"/>
    <w:rsid w:val="00C16E53"/>
    <w:rsid w:val="00C213C4"/>
    <w:rsid w:val="00C215E4"/>
    <w:rsid w:val="00C24346"/>
    <w:rsid w:val="00C262A2"/>
    <w:rsid w:val="00C27A77"/>
    <w:rsid w:val="00C321AE"/>
    <w:rsid w:val="00C33B8A"/>
    <w:rsid w:val="00C3426B"/>
    <w:rsid w:val="00C35527"/>
    <w:rsid w:val="00C431B4"/>
    <w:rsid w:val="00C50767"/>
    <w:rsid w:val="00C50DFC"/>
    <w:rsid w:val="00C50E03"/>
    <w:rsid w:val="00C51D4D"/>
    <w:rsid w:val="00C53075"/>
    <w:rsid w:val="00C57243"/>
    <w:rsid w:val="00C63154"/>
    <w:rsid w:val="00C63BEC"/>
    <w:rsid w:val="00C654FD"/>
    <w:rsid w:val="00C656E6"/>
    <w:rsid w:val="00C71B08"/>
    <w:rsid w:val="00C725D1"/>
    <w:rsid w:val="00C82590"/>
    <w:rsid w:val="00C84EC1"/>
    <w:rsid w:val="00C8597B"/>
    <w:rsid w:val="00C85D39"/>
    <w:rsid w:val="00C86C59"/>
    <w:rsid w:val="00C913CB"/>
    <w:rsid w:val="00C91C5A"/>
    <w:rsid w:val="00C91EF9"/>
    <w:rsid w:val="00C94A1F"/>
    <w:rsid w:val="00C95D68"/>
    <w:rsid w:val="00C96AA6"/>
    <w:rsid w:val="00CA0871"/>
    <w:rsid w:val="00CB3FA8"/>
    <w:rsid w:val="00CC30F0"/>
    <w:rsid w:val="00CC4C59"/>
    <w:rsid w:val="00CC756E"/>
    <w:rsid w:val="00CD3596"/>
    <w:rsid w:val="00CD5F42"/>
    <w:rsid w:val="00CD6D73"/>
    <w:rsid w:val="00CD6D9A"/>
    <w:rsid w:val="00CE48AD"/>
    <w:rsid w:val="00CE4B46"/>
    <w:rsid w:val="00CF3A4C"/>
    <w:rsid w:val="00CF6649"/>
    <w:rsid w:val="00D00E92"/>
    <w:rsid w:val="00D02A9A"/>
    <w:rsid w:val="00D03720"/>
    <w:rsid w:val="00D0402D"/>
    <w:rsid w:val="00D055EC"/>
    <w:rsid w:val="00D06246"/>
    <w:rsid w:val="00D0654D"/>
    <w:rsid w:val="00D06751"/>
    <w:rsid w:val="00D11B13"/>
    <w:rsid w:val="00D128AC"/>
    <w:rsid w:val="00D14657"/>
    <w:rsid w:val="00D24540"/>
    <w:rsid w:val="00D27D59"/>
    <w:rsid w:val="00D30D6B"/>
    <w:rsid w:val="00D37ACE"/>
    <w:rsid w:val="00D4060F"/>
    <w:rsid w:val="00D40E43"/>
    <w:rsid w:val="00D44728"/>
    <w:rsid w:val="00D50B60"/>
    <w:rsid w:val="00D543AD"/>
    <w:rsid w:val="00D55846"/>
    <w:rsid w:val="00D562FF"/>
    <w:rsid w:val="00D5717B"/>
    <w:rsid w:val="00D63B6F"/>
    <w:rsid w:val="00D70324"/>
    <w:rsid w:val="00D76166"/>
    <w:rsid w:val="00D77391"/>
    <w:rsid w:val="00D8560F"/>
    <w:rsid w:val="00D866BC"/>
    <w:rsid w:val="00DA2F9F"/>
    <w:rsid w:val="00DA31EE"/>
    <w:rsid w:val="00DA44D6"/>
    <w:rsid w:val="00DB34AA"/>
    <w:rsid w:val="00DB4649"/>
    <w:rsid w:val="00DB4BBC"/>
    <w:rsid w:val="00DB6432"/>
    <w:rsid w:val="00DB71B9"/>
    <w:rsid w:val="00DB7FED"/>
    <w:rsid w:val="00DC1457"/>
    <w:rsid w:val="00DC1937"/>
    <w:rsid w:val="00DC1CA8"/>
    <w:rsid w:val="00DC24B0"/>
    <w:rsid w:val="00DC59DC"/>
    <w:rsid w:val="00DC6435"/>
    <w:rsid w:val="00DE25AD"/>
    <w:rsid w:val="00DE287E"/>
    <w:rsid w:val="00DE4FA9"/>
    <w:rsid w:val="00DE52A5"/>
    <w:rsid w:val="00DE5C4D"/>
    <w:rsid w:val="00DF56C9"/>
    <w:rsid w:val="00DF5774"/>
    <w:rsid w:val="00E0575A"/>
    <w:rsid w:val="00E11756"/>
    <w:rsid w:val="00E125DF"/>
    <w:rsid w:val="00E165E4"/>
    <w:rsid w:val="00E17D0D"/>
    <w:rsid w:val="00E30318"/>
    <w:rsid w:val="00E32708"/>
    <w:rsid w:val="00E3473E"/>
    <w:rsid w:val="00E43184"/>
    <w:rsid w:val="00E460D4"/>
    <w:rsid w:val="00E4615D"/>
    <w:rsid w:val="00E479C0"/>
    <w:rsid w:val="00E50A44"/>
    <w:rsid w:val="00E54B7E"/>
    <w:rsid w:val="00E55560"/>
    <w:rsid w:val="00E55A88"/>
    <w:rsid w:val="00E5799E"/>
    <w:rsid w:val="00E63C9A"/>
    <w:rsid w:val="00E6543D"/>
    <w:rsid w:val="00E65C3E"/>
    <w:rsid w:val="00E6707A"/>
    <w:rsid w:val="00E70327"/>
    <w:rsid w:val="00E71EE5"/>
    <w:rsid w:val="00E723E0"/>
    <w:rsid w:val="00E7315B"/>
    <w:rsid w:val="00E74323"/>
    <w:rsid w:val="00E77791"/>
    <w:rsid w:val="00E831C3"/>
    <w:rsid w:val="00E955F0"/>
    <w:rsid w:val="00EA5418"/>
    <w:rsid w:val="00EA7603"/>
    <w:rsid w:val="00EB297B"/>
    <w:rsid w:val="00EB6F6B"/>
    <w:rsid w:val="00EC1567"/>
    <w:rsid w:val="00EC1EDE"/>
    <w:rsid w:val="00EC254C"/>
    <w:rsid w:val="00EC33D7"/>
    <w:rsid w:val="00EC74DC"/>
    <w:rsid w:val="00ED69A7"/>
    <w:rsid w:val="00EE46FB"/>
    <w:rsid w:val="00F02E61"/>
    <w:rsid w:val="00F03204"/>
    <w:rsid w:val="00F12529"/>
    <w:rsid w:val="00F17C0D"/>
    <w:rsid w:val="00F2754B"/>
    <w:rsid w:val="00F3345C"/>
    <w:rsid w:val="00F335B7"/>
    <w:rsid w:val="00F35D1D"/>
    <w:rsid w:val="00F37AA2"/>
    <w:rsid w:val="00F42842"/>
    <w:rsid w:val="00F43BC1"/>
    <w:rsid w:val="00F50F83"/>
    <w:rsid w:val="00F53897"/>
    <w:rsid w:val="00F559B3"/>
    <w:rsid w:val="00F5728B"/>
    <w:rsid w:val="00F6519D"/>
    <w:rsid w:val="00F651FA"/>
    <w:rsid w:val="00F7364C"/>
    <w:rsid w:val="00F75314"/>
    <w:rsid w:val="00F755D0"/>
    <w:rsid w:val="00F75A0B"/>
    <w:rsid w:val="00F762CB"/>
    <w:rsid w:val="00F81A16"/>
    <w:rsid w:val="00F82B20"/>
    <w:rsid w:val="00F83709"/>
    <w:rsid w:val="00F87880"/>
    <w:rsid w:val="00F942CE"/>
    <w:rsid w:val="00F9626E"/>
    <w:rsid w:val="00FB1010"/>
    <w:rsid w:val="00FB1F56"/>
    <w:rsid w:val="00FB25B6"/>
    <w:rsid w:val="00FB6810"/>
    <w:rsid w:val="00FD2DEA"/>
    <w:rsid w:val="00FD4B29"/>
    <w:rsid w:val="00FD5A63"/>
    <w:rsid w:val="00FD6502"/>
    <w:rsid w:val="00FD70FE"/>
    <w:rsid w:val="00FE4EF4"/>
    <w:rsid w:val="00FE662E"/>
    <w:rsid w:val="00FE67F4"/>
    <w:rsid w:val="00FE6B9A"/>
    <w:rsid w:val="00FF5624"/>
    <w:rsid w:val="00FF62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EF8A7"/>
  <w15:docId w15:val="{CEB11156-79B6-4254-9373-3BF7CAE4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D40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27D59"/>
    <w:rPr>
      <w:color w:val="0563C1"/>
      <w:u w:val="single"/>
    </w:rPr>
  </w:style>
  <w:style w:type="character" w:styleId="Hipervnculovisitado">
    <w:name w:val="FollowedHyperlink"/>
    <w:basedOn w:val="Fuentedeprrafopredeter"/>
    <w:uiPriority w:val="99"/>
    <w:semiHidden/>
    <w:unhideWhenUsed/>
    <w:rsid w:val="00D27D59"/>
    <w:rPr>
      <w:color w:val="954F72"/>
      <w:u w:val="single"/>
    </w:rPr>
  </w:style>
  <w:style w:type="paragraph" w:customStyle="1" w:styleId="xl66">
    <w:name w:val="xl66"/>
    <w:basedOn w:val="Normal"/>
    <w:rsid w:val="00D27D5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C410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2">
    <w:name w:val="Grid Table 2"/>
    <w:basedOn w:val="Tablanormal"/>
    <w:uiPriority w:val="47"/>
    <w:rsid w:val="00AC7F8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AC7F8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3">
    <w:name w:val="Grid Table 7 Colorful Accent 3"/>
    <w:basedOn w:val="Tablanormal"/>
    <w:uiPriority w:val="52"/>
    <w:rsid w:val="00AC7F8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1clara">
    <w:name w:val="Grid Table 1 Light"/>
    <w:basedOn w:val="Tablanormal"/>
    <w:uiPriority w:val="46"/>
    <w:rsid w:val="00AC7F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AC7F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7concolores-nfasis2">
    <w:name w:val="Grid Table 7 Colorful Accent 2"/>
    <w:basedOn w:val="Tablanormal"/>
    <w:uiPriority w:val="52"/>
    <w:rsid w:val="00AD625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767">
      <w:bodyDiv w:val="1"/>
      <w:marLeft w:val="0"/>
      <w:marRight w:val="0"/>
      <w:marTop w:val="0"/>
      <w:marBottom w:val="0"/>
      <w:divBdr>
        <w:top w:val="none" w:sz="0" w:space="0" w:color="auto"/>
        <w:left w:val="none" w:sz="0" w:space="0" w:color="auto"/>
        <w:bottom w:val="none" w:sz="0" w:space="0" w:color="auto"/>
        <w:right w:val="none" w:sz="0" w:space="0" w:color="auto"/>
      </w:divBdr>
    </w:div>
    <w:div w:id="66146764">
      <w:bodyDiv w:val="1"/>
      <w:marLeft w:val="0"/>
      <w:marRight w:val="0"/>
      <w:marTop w:val="0"/>
      <w:marBottom w:val="0"/>
      <w:divBdr>
        <w:top w:val="none" w:sz="0" w:space="0" w:color="auto"/>
        <w:left w:val="none" w:sz="0" w:space="0" w:color="auto"/>
        <w:bottom w:val="none" w:sz="0" w:space="0" w:color="auto"/>
        <w:right w:val="none" w:sz="0" w:space="0" w:color="auto"/>
      </w:divBdr>
    </w:div>
    <w:div w:id="69931084">
      <w:bodyDiv w:val="1"/>
      <w:marLeft w:val="0"/>
      <w:marRight w:val="0"/>
      <w:marTop w:val="0"/>
      <w:marBottom w:val="0"/>
      <w:divBdr>
        <w:top w:val="none" w:sz="0" w:space="0" w:color="auto"/>
        <w:left w:val="none" w:sz="0" w:space="0" w:color="auto"/>
        <w:bottom w:val="none" w:sz="0" w:space="0" w:color="auto"/>
        <w:right w:val="none" w:sz="0" w:space="0" w:color="auto"/>
      </w:divBdr>
    </w:div>
    <w:div w:id="71584216">
      <w:bodyDiv w:val="1"/>
      <w:marLeft w:val="0"/>
      <w:marRight w:val="0"/>
      <w:marTop w:val="0"/>
      <w:marBottom w:val="0"/>
      <w:divBdr>
        <w:top w:val="none" w:sz="0" w:space="0" w:color="auto"/>
        <w:left w:val="none" w:sz="0" w:space="0" w:color="auto"/>
        <w:bottom w:val="none" w:sz="0" w:space="0" w:color="auto"/>
        <w:right w:val="none" w:sz="0" w:space="0" w:color="auto"/>
      </w:divBdr>
    </w:div>
    <w:div w:id="100270659">
      <w:bodyDiv w:val="1"/>
      <w:marLeft w:val="0"/>
      <w:marRight w:val="0"/>
      <w:marTop w:val="0"/>
      <w:marBottom w:val="0"/>
      <w:divBdr>
        <w:top w:val="none" w:sz="0" w:space="0" w:color="auto"/>
        <w:left w:val="none" w:sz="0" w:space="0" w:color="auto"/>
        <w:bottom w:val="none" w:sz="0" w:space="0" w:color="auto"/>
        <w:right w:val="none" w:sz="0" w:space="0" w:color="auto"/>
      </w:divBdr>
    </w:div>
    <w:div w:id="153768921">
      <w:bodyDiv w:val="1"/>
      <w:marLeft w:val="0"/>
      <w:marRight w:val="0"/>
      <w:marTop w:val="0"/>
      <w:marBottom w:val="0"/>
      <w:divBdr>
        <w:top w:val="none" w:sz="0" w:space="0" w:color="auto"/>
        <w:left w:val="none" w:sz="0" w:space="0" w:color="auto"/>
        <w:bottom w:val="none" w:sz="0" w:space="0" w:color="auto"/>
        <w:right w:val="none" w:sz="0" w:space="0" w:color="auto"/>
      </w:divBdr>
    </w:div>
    <w:div w:id="210266851">
      <w:bodyDiv w:val="1"/>
      <w:marLeft w:val="0"/>
      <w:marRight w:val="0"/>
      <w:marTop w:val="0"/>
      <w:marBottom w:val="0"/>
      <w:divBdr>
        <w:top w:val="none" w:sz="0" w:space="0" w:color="auto"/>
        <w:left w:val="none" w:sz="0" w:space="0" w:color="auto"/>
        <w:bottom w:val="none" w:sz="0" w:space="0" w:color="auto"/>
        <w:right w:val="none" w:sz="0" w:space="0" w:color="auto"/>
      </w:divBdr>
    </w:div>
    <w:div w:id="210965327">
      <w:bodyDiv w:val="1"/>
      <w:marLeft w:val="0"/>
      <w:marRight w:val="0"/>
      <w:marTop w:val="0"/>
      <w:marBottom w:val="0"/>
      <w:divBdr>
        <w:top w:val="none" w:sz="0" w:space="0" w:color="auto"/>
        <w:left w:val="none" w:sz="0" w:space="0" w:color="auto"/>
        <w:bottom w:val="none" w:sz="0" w:space="0" w:color="auto"/>
        <w:right w:val="none" w:sz="0" w:space="0" w:color="auto"/>
      </w:divBdr>
    </w:div>
    <w:div w:id="220747945">
      <w:bodyDiv w:val="1"/>
      <w:marLeft w:val="0"/>
      <w:marRight w:val="0"/>
      <w:marTop w:val="0"/>
      <w:marBottom w:val="0"/>
      <w:divBdr>
        <w:top w:val="none" w:sz="0" w:space="0" w:color="auto"/>
        <w:left w:val="none" w:sz="0" w:space="0" w:color="auto"/>
        <w:bottom w:val="none" w:sz="0" w:space="0" w:color="auto"/>
        <w:right w:val="none" w:sz="0" w:space="0" w:color="auto"/>
      </w:divBdr>
    </w:div>
    <w:div w:id="302199351">
      <w:bodyDiv w:val="1"/>
      <w:marLeft w:val="0"/>
      <w:marRight w:val="0"/>
      <w:marTop w:val="0"/>
      <w:marBottom w:val="0"/>
      <w:divBdr>
        <w:top w:val="none" w:sz="0" w:space="0" w:color="auto"/>
        <w:left w:val="none" w:sz="0" w:space="0" w:color="auto"/>
        <w:bottom w:val="none" w:sz="0" w:space="0" w:color="auto"/>
        <w:right w:val="none" w:sz="0" w:space="0" w:color="auto"/>
      </w:divBdr>
    </w:div>
    <w:div w:id="361900705">
      <w:bodyDiv w:val="1"/>
      <w:marLeft w:val="0"/>
      <w:marRight w:val="0"/>
      <w:marTop w:val="0"/>
      <w:marBottom w:val="0"/>
      <w:divBdr>
        <w:top w:val="none" w:sz="0" w:space="0" w:color="auto"/>
        <w:left w:val="none" w:sz="0" w:space="0" w:color="auto"/>
        <w:bottom w:val="none" w:sz="0" w:space="0" w:color="auto"/>
        <w:right w:val="none" w:sz="0" w:space="0" w:color="auto"/>
      </w:divBdr>
    </w:div>
    <w:div w:id="366763803">
      <w:bodyDiv w:val="1"/>
      <w:marLeft w:val="0"/>
      <w:marRight w:val="0"/>
      <w:marTop w:val="0"/>
      <w:marBottom w:val="0"/>
      <w:divBdr>
        <w:top w:val="none" w:sz="0" w:space="0" w:color="auto"/>
        <w:left w:val="none" w:sz="0" w:space="0" w:color="auto"/>
        <w:bottom w:val="none" w:sz="0" w:space="0" w:color="auto"/>
        <w:right w:val="none" w:sz="0" w:space="0" w:color="auto"/>
      </w:divBdr>
    </w:div>
    <w:div w:id="368385999">
      <w:bodyDiv w:val="1"/>
      <w:marLeft w:val="0"/>
      <w:marRight w:val="0"/>
      <w:marTop w:val="0"/>
      <w:marBottom w:val="0"/>
      <w:divBdr>
        <w:top w:val="none" w:sz="0" w:space="0" w:color="auto"/>
        <w:left w:val="none" w:sz="0" w:space="0" w:color="auto"/>
        <w:bottom w:val="none" w:sz="0" w:space="0" w:color="auto"/>
        <w:right w:val="none" w:sz="0" w:space="0" w:color="auto"/>
      </w:divBdr>
    </w:div>
    <w:div w:id="422071240">
      <w:bodyDiv w:val="1"/>
      <w:marLeft w:val="0"/>
      <w:marRight w:val="0"/>
      <w:marTop w:val="0"/>
      <w:marBottom w:val="0"/>
      <w:divBdr>
        <w:top w:val="none" w:sz="0" w:space="0" w:color="auto"/>
        <w:left w:val="none" w:sz="0" w:space="0" w:color="auto"/>
        <w:bottom w:val="none" w:sz="0" w:space="0" w:color="auto"/>
        <w:right w:val="none" w:sz="0" w:space="0" w:color="auto"/>
      </w:divBdr>
    </w:div>
    <w:div w:id="498229650">
      <w:bodyDiv w:val="1"/>
      <w:marLeft w:val="0"/>
      <w:marRight w:val="0"/>
      <w:marTop w:val="0"/>
      <w:marBottom w:val="0"/>
      <w:divBdr>
        <w:top w:val="none" w:sz="0" w:space="0" w:color="auto"/>
        <w:left w:val="none" w:sz="0" w:space="0" w:color="auto"/>
        <w:bottom w:val="none" w:sz="0" w:space="0" w:color="auto"/>
        <w:right w:val="none" w:sz="0" w:space="0" w:color="auto"/>
      </w:divBdr>
    </w:div>
    <w:div w:id="523401013">
      <w:bodyDiv w:val="1"/>
      <w:marLeft w:val="0"/>
      <w:marRight w:val="0"/>
      <w:marTop w:val="0"/>
      <w:marBottom w:val="0"/>
      <w:divBdr>
        <w:top w:val="none" w:sz="0" w:space="0" w:color="auto"/>
        <w:left w:val="none" w:sz="0" w:space="0" w:color="auto"/>
        <w:bottom w:val="none" w:sz="0" w:space="0" w:color="auto"/>
        <w:right w:val="none" w:sz="0" w:space="0" w:color="auto"/>
      </w:divBdr>
    </w:div>
    <w:div w:id="574357910">
      <w:bodyDiv w:val="1"/>
      <w:marLeft w:val="0"/>
      <w:marRight w:val="0"/>
      <w:marTop w:val="0"/>
      <w:marBottom w:val="0"/>
      <w:divBdr>
        <w:top w:val="none" w:sz="0" w:space="0" w:color="auto"/>
        <w:left w:val="none" w:sz="0" w:space="0" w:color="auto"/>
        <w:bottom w:val="none" w:sz="0" w:space="0" w:color="auto"/>
        <w:right w:val="none" w:sz="0" w:space="0" w:color="auto"/>
      </w:divBdr>
    </w:div>
    <w:div w:id="596986315">
      <w:bodyDiv w:val="1"/>
      <w:marLeft w:val="0"/>
      <w:marRight w:val="0"/>
      <w:marTop w:val="0"/>
      <w:marBottom w:val="0"/>
      <w:divBdr>
        <w:top w:val="none" w:sz="0" w:space="0" w:color="auto"/>
        <w:left w:val="none" w:sz="0" w:space="0" w:color="auto"/>
        <w:bottom w:val="none" w:sz="0" w:space="0" w:color="auto"/>
        <w:right w:val="none" w:sz="0" w:space="0" w:color="auto"/>
      </w:divBdr>
    </w:div>
    <w:div w:id="636183154">
      <w:bodyDiv w:val="1"/>
      <w:marLeft w:val="0"/>
      <w:marRight w:val="0"/>
      <w:marTop w:val="0"/>
      <w:marBottom w:val="0"/>
      <w:divBdr>
        <w:top w:val="none" w:sz="0" w:space="0" w:color="auto"/>
        <w:left w:val="none" w:sz="0" w:space="0" w:color="auto"/>
        <w:bottom w:val="none" w:sz="0" w:space="0" w:color="auto"/>
        <w:right w:val="none" w:sz="0" w:space="0" w:color="auto"/>
      </w:divBdr>
    </w:div>
    <w:div w:id="640230142">
      <w:bodyDiv w:val="1"/>
      <w:marLeft w:val="0"/>
      <w:marRight w:val="0"/>
      <w:marTop w:val="0"/>
      <w:marBottom w:val="0"/>
      <w:divBdr>
        <w:top w:val="none" w:sz="0" w:space="0" w:color="auto"/>
        <w:left w:val="none" w:sz="0" w:space="0" w:color="auto"/>
        <w:bottom w:val="none" w:sz="0" w:space="0" w:color="auto"/>
        <w:right w:val="none" w:sz="0" w:space="0" w:color="auto"/>
      </w:divBdr>
    </w:div>
    <w:div w:id="641737873">
      <w:bodyDiv w:val="1"/>
      <w:marLeft w:val="0"/>
      <w:marRight w:val="0"/>
      <w:marTop w:val="0"/>
      <w:marBottom w:val="0"/>
      <w:divBdr>
        <w:top w:val="none" w:sz="0" w:space="0" w:color="auto"/>
        <w:left w:val="none" w:sz="0" w:space="0" w:color="auto"/>
        <w:bottom w:val="none" w:sz="0" w:space="0" w:color="auto"/>
        <w:right w:val="none" w:sz="0" w:space="0" w:color="auto"/>
      </w:divBdr>
    </w:div>
    <w:div w:id="721516400">
      <w:bodyDiv w:val="1"/>
      <w:marLeft w:val="0"/>
      <w:marRight w:val="0"/>
      <w:marTop w:val="0"/>
      <w:marBottom w:val="0"/>
      <w:divBdr>
        <w:top w:val="none" w:sz="0" w:space="0" w:color="auto"/>
        <w:left w:val="none" w:sz="0" w:space="0" w:color="auto"/>
        <w:bottom w:val="none" w:sz="0" w:space="0" w:color="auto"/>
        <w:right w:val="none" w:sz="0" w:space="0" w:color="auto"/>
      </w:divBdr>
    </w:div>
    <w:div w:id="775901139">
      <w:bodyDiv w:val="1"/>
      <w:marLeft w:val="0"/>
      <w:marRight w:val="0"/>
      <w:marTop w:val="0"/>
      <w:marBottom w:val="0"/>
      <w:divBdr>
        <w:top w:val="none" w:sz="0" w:space="0" w:color="auto"/>
        <w:left w:val="none" w:sz="0" w:space="0" w:color="auto"/>
        <w:bottom w:val="none" w:sz="0" w:space="0" w:color="auto"/>
        <w:right w:val="none" w:sz="0" w:space="0" w:color="auto"/>
      </w:divBdr>
    </w:div>
    <w:div w:id="786705687">
      <w:bodyDiv w:val="1"/>
      <w:marLeft w:val="0"/>
      <w:marRight w:val="0"/>
      <w:marTop w:val="0"/>
      <w:marBottom w:val="0"/>
      <w:divBdr>
        <w:top w:val="none" w:sz="0" w:space="0" w:color="auto"/>
        <w:left w:val="none" w:sz="0" w:space="0" w:color="auto"/>
        <w:bottom w:val="none" w:sz="0" w:space="0" w:color="auto"/>
        <w:right w:val="none" w:sz="0" w:space="0" w:color="auto"/>
      </w:divBdr>
    </w:div>
    <w:div w:id="790325165">
      <w:bodyDiv w:val="1"/>
      <w:marLeft w:val="0"/>
      <w:marRight w:val="0"/>
      <w:marTop w:val="0"/>
      <w:marBottom w:val="0"/>
      <w:divBdr>
        <w:top w:val="none" w:sz="0" w:space="0" w:color="auto"/>
        <w:left w:val="none" w:sz="0" w:space="0" w:color="auto"/>
        <w:bottom w:val="none" w:sz="0" w:space="0" w:color="auto"/>
        <w:right w:val="none" w:sz="0" w:space="0" w:color="auto"/>
      </w:divBdr>
    </w:div>
    <w:div w:id="855071311">
      <w:bodyDiv w:val="1"/>
      <w:marLeft w:val="0"/>
      <w:marRight w:val="0"/>
      <w:marTop w:val="0"/>
      <w:marBottom w:val="0"/>
      <w:divBdr>
        <w:top w:val="none" w:sz="0" w:space="0" w:color="auto"/>
        <w:left w:val="none" w:sz="0" w:space="0" w:color="auto"/>
        <w:bottom w:val="none" w:sz="0" w:space="0" w:color="auto"/>
        <w:right w:val="none" w:sz="0" w:space="0" w:color="auto"/>
      </w:divBdr>
    </w:div>
    <w:div w:id="912542311">
      <w:bodyDiv w:val="1"/>
      <w:marLeft w:val="0"/>
      <w:marRight w:val="0"/>
      <w:marTop w:val="0"/>
      <w:marBottom w:val="0"/>
      <w:divBdr>
        <w:top w:val="none" w:sz="0" w:space="0" w:color="auto"/>
        <w:left w:val="none" w:sz="0" w:space="0" w:color="auto"/>
        <w:bottom w:val="none" w:sz="0" w:space="0" w:color="auto"/>
        <w:right w:val="none" w:sz="0" w:space="0" w:color="auto"/>
      </w:divBdr>
    </w:div>
    <w:div w:id="928736210">
      <w:bodyDiv w:val="1"/>
      <w:marLeft w:val="0"/>
      <w:marRight w:val="0"/>
      <w:marTop w:val="0"/>
      <w:marBottom w:val="0"/>
      <w:divBdr>
        <w:top w:val="none" w:sz="0" w:space="0" w:color="auto"/>
        <w:left w:val="none" w:sz="0" w:space="0" w:color="auto"/>
        <w:bottom w:val="none" w:sz="0" w:space="0" w:color="auto"/>
        <w:right w:val="none" w:sz="0" w:space="0" w:color="auto"/>
      </w:divBdr>
    </w:div>
    <w:div w:id="929505039">
      <w:bodyDiv w:val="1"/>
      <w:marLeft w:val="0"/>
      <w:marRight w:val="0"/>
      <w:marTop w:val="0"/>
      <w:marBottom w:val="0"/>
      <w:divBdr>
        <w:top w:val="none" w:sz="0" w:space="0" w:color="auto"/>
        <w:left w:val="none" w:sz="0" w:space="0" w:color="auto"/>
        <w:bottom w:val="none" w:sz="0" w:space="0" w:color="auto"/>
        <w:right w:val="none" w:sz="0" w:space="0" w:color="auto"/>
      </w:divBdr>
    </w:div>
    <w:div w:id="931861902">
      <w:bodyDiv w:val="1"/>
      <w:marLeft w:val="0"/>
      <w:marRight w:val="0"/>
      <w:marTop w:val="0"/>
      <w:marBottom w:val="0"/>
      <w:divBdr>
        <w:top w:val="none" w:sz="0" w:space="0" w:color="auto"/>
        <w:left w:val="none" w:sz="0" w:space="0" w:color="auto"/>
        <w:bottom w:val="none" w:sz="0" w:space="0" w:color="auto"/>
        <w:right w:val="none" w:sz="0" w:space="0" w:color="auto"/>
      </w:divBdr>
    </w:div>
    <w:div w:id="972103786">
      <w:bodyDiv w:val="1"/>
      <w:marLeft w:val="0"/>
      <w:marRight w:val="0"/>
      <w:marTop w:val="0"/>
      <w:marBottom w:val="0"/>
      <w:divBdr>
        <w:top w:val="none" w:sz="0" w:space="0" w:color="auto"/>
        <w:left w:val="none" w:sz="0" w:space="0" w:color="auto"/>
        <w:bottom w:val="none" w:sz="0" w:space="0" w:color="auto"/>
        <w:right w:val="none" w:sz="0" w:space="0" w:color="auto"/>
      </w:divBdr>
    </w:div>
    <w:div w:id="1015112158">
      <w:bodyDiv w:val="1"/>
      <w:marLeft w:val="0"/>
      <w:marRight w:val="0"/>
      <w:marTop w:val="0"/>
      <w:marBottom w:val="0"/>
      <w:divBdr>
        <w:top w:val="none" w:sz="0" w:space="0" w:color="auto"/>
        <w:left w:val="none" w:sz="0" w:space="0" w:color="auto"/>
        <w:bottom w:val="none" w:sz="0" w:space="0" w:color="auto"/>
        <w:right w:val="none" w:sz="0" w:space="0" w:color="auto"/>
      </w:divBdr>
    </w:div>
    <w:div w:id="1024752547">
      <w:bodyDiv w:val="1"/>
      <w:marLeft w:val="0"/>
      <w:marRight w:val="0"/>
      <w:marTop w:val="0"/>
      <w:marBottom w:val="0"/>
      <w:divBdr>
        <w:top w:val="none" w:sz="0" w:space="0" w:color="auto"/>
        <w:left w:val="none" w:sz="0" w:space="0" w:color="auto"/>
        <w:bottom w:val="none" w:sz="0" w:space="0" w:color="auto"/>
        <w:right w:val="none" w:sz="0" w:space="0" w:color="auto"/>
      </w:divBdr>
    </w:div>
    <w:div w:id="1025328719">
      <w:bodyDiv w:val="1"/>
      <w:marLeft w:val="0"/>
      <w:marRight w:val="0"/>
      <w:marTop w:val="0"/>
      <w:marBottom w:val="0"/>
      <w:divBdr>
        <w:top w:val="none" w:sz="0" w:space="0" w:color="auto"/>
        <w:left w:val="none" w:sz="0" w:space="0" w:color="auto"/>
        <w:bottom w:val="none" w:sz="0" w:space="0" w:color="auto"/>
        <w:right w:val="none" w:sz="0" w:space="0" w:color="auto"/>
      </w:divBdr>
    </w:div>
    <w:div w:id="1026717614">
      <w:bodyDiv w:val="1"/>
      <w:marLeft w:val="0"/>
      <w:marRight w:val="0"/>
      <w:marTop w:val="0"/>
      <w:marBottom w:val="0"/>
      <w:divBdr>
        <w:top w:val="none" w:sz="0" w:space="0" w:color="auto"/>
        <w:left w:val="none" w:sz="0" w:space="0" w:color="auto"/>
        <w:bottom w:val="none" w:sz="0" w:space="0" w:color="auto"/>
        <w:right w:val="none" w:sz="0" w:space="0" w:color="auto"/>
      </w:divBdr>
    </w:div>
    <w:div w:id="1060326943">
      <w:bodyDiv w:val="1"/>
      <w:marLeft w:val="0"/>
      <w:marRight w:val="0"/>
      <w:marTop w:val="0"/>
      <w:marBottom w:val="0"/>
      <w:divBdr>
        <w:top w:val="none" w:sz="0" w:space="0" w:color="auto"/>
        <w:left w:val="none" w:sz="0" w:space="0" w:color="auto"/>
        <w:bottom w:val="none" w:sz="0" w:space="0" w:color="auto"/>
        <w:right w:val="none" w:sz="0" w:space="0" w:color="auto"/>
      </w:divBdr>
    </w:div>
    <w:div w:id="1075863569">
      <w:bodyDiv w:val="1"/>
      <w:marLeft w:val="0"/>
      <w:marRight w:val="0"/>
      <w:marTop w:val="0"/>
      <w:marBottom w:val="0"/>
      <w:divBdr>
        <w:top w:val="none" w:sz="0" w:space="0" w:color="auto"/>
        <w:left w:val="none" w:sz="0" w:space="0" w:color="auto"/>
        <w:bottom w:val="none" w:sz="0" w:space="0" w:color="auto"/>
        <w:right w:val="none" w:sz="0" w:space="0" w:color="auto"/>
      </w:divBdr>
    </w:div>
    <w:div w:id="1093893880">
      <w:bodyDiv w:val="1"/>
      <w:marLeft w:val="0"/>
      <w:marRight w:val="0"/>
      <w:marTop w:val="0"/>
      <w:marBottom w:val="0"/>
      <w:divBdr>
        <w:top w:val="none" w:sz="0" w:space="0" w:color="auto"/>
        <w:left w:val="none" w:sz="0" w:space="0" w:color="auto"/>
        <w:bottom w:val="none" w:sz="0" w:space="0" w:color="auto"/>
        <w:right w:val="none" w:sz="0" w:space="0" w:color="auto"/>
      </w:divBdr>
    </w:div>
    <w:div w:id="1130435452">
      <w:bodyDiv w:val="1"/>
      <w:marLeft w:val="0"/>
      <w:marRight w:val="0"/>
      <w:marTop w:val="0"/>
      <w:marBottom w:val="0"/>
      <w:divBdr>
        <w:top w:val="none" w:sz="0" w:space="0" w:color="auto"/>
        <w:left w:val="none" w:sz="0" w:space="0" w:color="auto"/>
        <w:bottom w:val="none" w:sz="0" w:space="0" w:color="auto"/>
        <w:right w:val="none" w:sz="0" w:space="0" w:color="auto"/>
      </w:divBdr>
    </w:div>
    <w:div w:id="1294940166">
      <w:bodyDiv w:val="1"/>
      <w:marLeft w:val="0"/>
      <w:marRight w:val="0"/>
      <w:marTop w:val="0"/>
      <w:marBottom w:val="0"/>
      <w:divBdr>
        <w:top w:val="none" w:sz="0" w:space="0" w:color="auto"/>
        <w:left w:val="none" w:sz="0" w:space="0" w:color="auto"/>
        <w:bottom w:val="none" w:sz="0" w:space="0" w:color="auto"/>
        <w:right w:val="none" w:sz="0" w:space="0" w:color="auto"/>
      </w:divBdr>
    </w:div>
    <w:div w:id="1361398887">
      <w:bodyDiv w:val="1"/>
      <w:marLeft w:val="0"/>
      <w:marRight w:val="0"/>
      <w:marTop w:val="0"/>
      <w:marBottom w:val="0"/>
      <w:divBdr>
        <w:top w:val="none" w:sz="0" w:space="0" w:color="auto"/>
        <w:left w:val="none" w:sz="0" w:space="0" w:color="auto"/>
        <w:bottom w:val="none" w:sz="0" w:space="0" w:color="auto"/>
        <w:right w:val="none" w:sz="0" w:space="0" w:color="auto"/>
      </w:divBdr>
    </w:div>
    <w:div w:id="1395660689">
      <w:bodyDiv w:val="1"/>
      <w:marLeft w:val="0"/>
      <w:marRight w:val="0"/>
      <w:marTop w:val="0"/>
      <w:marBottom w:val="0"/>
      <w:divBdr>
        <w:top w:val="none" w:sz="0" w:space="0" w:color="auto"/>
        <w:left w:val="none" w:sz="0" w:space="0" w:color="auto"/>
        <w:bottom w:val="none" w:sz="0" w:space="0" w:color="auto"/>
        <w:right w:val="none" w:sz="0" w:space="0" w:color="auto"/>
      </w:divBdr>
    </w:div>
    <w:div w:id="1397434280">
      <w:bodyDiv w:val="1"/>
      <w:marLeft w:val="0"/>
      <w:marRight w:val="0"/>
      <w:marTop w:val="0"/>
      <w:marBottom w:val="0"/>
      <w:divBdr>
        <w:top w:val="none" w:sz="0" w:space="0" w:color="auto"/>
        <w:left w:val="none" w:sz="0" w:space="0" w:color="auto"/>
        <w:bottom w:val="none" w:sz="0" w:space="0" w:color="auto"/>
        <w:right w:val="none" w:sz="0" w:space="0" w:color="auto"/>
      </w:divBdr>
    </w:div>
    <w:div w:id="1441604368">
      <w:bodyDiv w:val="1"/>
      <w:marLeft w:val="0"/>
      <w:marRight w:val="0"/>
      <w:marTop w:val="0"/>
      <w:marBottom w:val="0"/>
      <w:divBdr>
        <w:top w:val="none" w:sz="0" w:space="0" w:color="auto"/>
        <w:left w:val="none" w:sz="0" w:space="0" w:color="auto"/>
        <w:bottom w:val="none" w:sz="0" w:space="0" w:color="auto"/>
        <w:right w:val="none" w:sz="0" w:space="0" w:color="auto"/>
      </w:divBdr>
    </w:div>
    <w:div w:id="1477721025">
      <w:bodyDiv w:val="1"/>
      <w:marLeft w:val="0"/>
      <w:marRight w:val="0"/>
      <w:marTop w:val="0"/>
      <w:marBottom w:val="0"/>
      <w:divBdr>
        <w:top w:val="none" w:sz="0" w:space="0" w:color="auto"/>
        <w:left w:val="none" w:sz="0" w:space="0" w:color="auto"/>
        <w:bottom w:val="none" w:sz="0" w:space="0" w:color="auto"/>
        <w:right w:val="none" w:sz="0" w:space="0" w:color="auto"/>
      </w:divBdr>
    </w:div>
    <w:div w:id="1502309568">
      <w:bodyDiv w:val="1"/>
      <w:marLeft w:val="0"/>
      <w:marRight w:val="0"/>
      <w:marTop w:val="0"/>
      <w:marBottom w:val="0"/>
      <w:divBdr>
        <w:top w:val="none" w:sz="0" w:space="0" w:color="auto"/>
        <w:left w:val="none" w:sz="0" w:space="0" w:color="auto"/>
        <w:bottom w:val="none" w:sz="0" w:space="0" w:color="auto"/>
        <w:right w:val="none" w:sz="0" w:space="0" w:color="auto"/>
      </w:divBdr>
    </w:div>
    <w:div w:id="1575311687">
      <w:bodyDiv w:val="1"/>
      <w:marLeft w:val="0"/>
      <w:marRight w:val="0"/>
      <w:marTop w:val="0"/>
      <w:marBottom w:val="0"/>
      <w:divBdr>
        <w:top w:val="none" w:sz="0" w:space="0" w:color="auto"/>
        <w:left w:val="none" w:sz="0" w:space="0" w:color="auto"/>
        <w:bottom w:val="none" w:sz="0" w:space="0" w:color="auto"/>
        <w:right w:val="none" w:sz="0" w:space="0" w:color="auto"/>
      </w:divBdr>
    </w:div>
    <w:div w:id="1580945277">
      <w:bodyDiv w:val="1"/>
      <w:marLeft w:val="0"/>
      <w:marRight w:val="0"/>
      <w:marTop w:val="0"/>
      <w:marBottom w:val="0"/>
      <w:divBdr>
        <w:top w:val="none" w:sz="0" w:space="0" w:color="auto"/>
        <w:left w:val="none" w:sz="0" w:space="0" w:color="auto"/>
        <w:bottom w:val="none" w:sz="0" w:space="0" w:color="auto"/>
        <w:right w:val="none" w:sz="0" w:space="0" w:color="auto"/>
      </w:divBdr>
    </w:div>
    <w:div w:id="1584412283">
      <w:bodyDiv w:val="1"/>
      <w:marLeft w:val="0"/>
      <w:marRight w:val="0"/>
      <w:marTop w:val="0"/>
      <w:marBottom w:val="0"/>
      <w:divBdr>
        <w:top w:val="none" w:sz="0" w:space="0" w:color="auto"/>
        <w:left w:val="none" w:sz="0" w:space="0" w:color="auto"/>
        <w:bottom w:val="none" w:sz="0" w:space="0" w:color="auto"/>
        <w:right w:val="none" w:sz="0" w:space="0" w:color="auto"/>
      </w:divBdr>
    </w:div>
    <w:div w:id="1587305863">
      <w:bodyDiv w:val="1"/>
      <w:marLeft w:val="0"/>
      <w:marRight w:val="0"/>
      <w:marTop w:val="0"/>
      <w:marBottom w:val="0"/>
      <w:divBdr>
        <w:top w:val="none" w:sz="0" w:space="0" w:color="auto"/>
        <w:left w:val="none" w:sz="0" w:space="0" w:color="auto"/>
        <w:bottom w:val="none" w:sz="0" w:space="0" w:color="auto"/>
        <w:right w:val="none" w:sz="0" w:space="0" w:color="auto"/>
      </w:divBdr>
    </w:div>
    <w:div w:id="1618440532">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9824093">
      <w:bodyDiv w:val="1"/>
      <w:marLeft w:val="0"/>
      <w:marRight w:val="0"/>
      <w:marTop w:val="0"/>
      <w:marBottom w:val="0"/>
      <w:divBdr>
        <w:top w:val="none" w:sz="0" w:space="0" w:color="auto"/>
        <w:left w:val="none" w:sz="0" w:space="0" w:color="auto"/>
        <w:bottom w:val="none" w:sz="0" w:space="0" w:color="auto"/>
        <w:right w:val="none" w:sz="0" w:space="0" w:color="auto"/>
      </w:divBdr>
    </w:div>
    <w:div w:id="1661501398">
      <w:bodyDiv w:val="1"/>
      <w:marLeft w:val="0"/>
      <w:marRight w:val="0"/>
      <w:marTop w:val="0"/>
      <w:marBottom w:val="0"/>
      <w:divBdr>
        <w:top w:val="none" w:sz="0" w:space="0" w:color="auto"/>
        <w:left w:val="none" w:sz="0" w:space="0" w:color="auto"/>
        <w:bottom w:val="none" w:sz="0" w:space="0" w:color="auto"/>
        <w:right w:val="none" w:sz="0" w:space="0" w:color="auto"/>
      </w:divBdr>
    </w:div>
    <w:div w:id="1662126149">
      <w:bodyDiv w:val="1"/>
      <w:marLeft w:val="0"/>
      <w:marRight w:val="0"/>
      <w:marTop w:val="0"/>
      <w:marBottom w:val="0"/>
      <w:divBdr>
        <w:top w:val="none" w:sz="0" w:space="0" w:color="auto"/>
        <w:left w:val="none" w:sz="0" w:space="0" w:color="auto"/>
        <w:bottom w:val="none" w:sz="0" w:space="0" w:color="auto"/>
        <w:right w:val="none" w:sz="0" w:space="0" w:color="auto"/>
      </w:divBdr>
    </w:div>
    <w:div w:id="1663701949">
      <w:bodyDiv w:val="1"/>
      <w:marLeft w:val="0"/>
      <w:marRight w:val="0"/>
      <w:marTop w:val="0"/>
      <w:marBottom w:val="0"/>
      <w:divBdr>
        <w:top w:val="none" w:sz="0" w:space="0" w:color="auto"/>
        <w:left w:val="none" w:sz="0" w:space="0" w:color="auto"/>
        <w:bottom w:val="none" w:sz="0" w:space="0" w:color="auto"/>
        <w:right w:val="none" w:sz="0" w:space="0" w:color="auto"/>
      </w:divBdr>
    </w:div>
    <w:div w:id="1689864971">
      <w:bodyDiv w:val="1"/>
      <w:marLeft w:val="0"/>
      <w:marRight w:val="0"/>
      <w:marTop w:val="0"/>
      <w:marBottom w:val="0"/>
      <w:divBdr>
        <w:top w:val="none" w:sz="0" w:space="0" w:color="auto"/>
        <w:left w:val="none" w:sz="0" w:space="0" w:color="auto"/>
        <w:bottom w:val="none" w:sz="0" w:space="0" w:color="auto"/>
        <w:right w:val="none" w:sz="0" w:space="0" w:color="auto"/>
      </w:divBdr>
    </w:div>
    <w:div w:id="1756710707">
      <w:bodyDiv w:val="1"/>
      <w:marLeft w:val="0"/>
      <w:marRight w:val="0"/>
      <w:marTop w:val="0"/>
      <w:marBottom w:val="0"/>
      <w:divBdr>
        <w:top w:val="none" w:sz="0" w:space="0" w:color="auto"/>
        <w:left w:val="none" w:sz="0" w:space="0" w:color="auto"/>
        <w:bottom w:val="none" w:sz="0" w:space="0" w:color="auto"/>
        <w:right w:val="none" w:sz="0" w:space="0" w:color="auto"/>
      </w:divBdr>
    </w:div>
    <w:div w:id="1762070508">
      <w:bodyDiv w:val="1"/>
      <w:marLeft w:val="0"/>
      <w:marRight w:val="0"/>
      <w:marTop w:val="0"/>
      <w:marBottom w:val="0"/>
      <w:divBdr>
        <w:top w:val="none" w:sz="0" w:space="0" w:color="auto"/>
        <w:left w:val="none" w:sz="0" w:space="0" w:color="auto"/>
        <w:bottom w:val="none" w:sz="0" w:space="0" w:color="auto"/>
        <w:right w:val="none" w:sz="0" w:space="0" w:color="auto"/>
      </w:divBdr>
    </w:div>
    <w:div w:id="1767189627">
      <w:bodyDiv w:val="1"/>
      <w:marLeft w:val="0"/>
      <w:marRight w:val="0"/>
      <w:marTop w:val="0"/>
      <w:marBottom w:val="0"/>
      <w:divBdr>
        <w:top w:val="none" w:sz="0" w:space="0" w:color="auto"/>
        <w:left w:val="none" w:sz="0" w:space="0" w:color="auto"/>
        <w:bottom w:val="none" w:sz="0" w:space="0" w:color="auto"/>
        <w:right w:val="none" w:sz="0" w:space="0" w:color="auto"/>
      </w:divBdr>
    </w:div>
    <w:div w:id="1768499865">
      <w:bodyDiv w:val="1"/>
      <w:marLeft w:val="0"/>
      <w:marRight w:val="0"/>
      <w:marTop w:val="0"/>
      <w:marBottom w:val="0"/>
      <w:divBdr>
        <w:top w:val="none" w:sz="0" w:space="0" w:color="auto"/>
        <w:left w:val="none" w:sz="0" w:space="0" w:color="auto"/>
        <w:bottom w:val="none" w:sz="0" w:space="0" w:color="auto"/>
        <w:right w:val="none" w:sz="0" w:space="0" w:color="auto"/>
      </w:divBdr>
    </w:div>
    <w:div w:id="1817213037">
      <w:bodyDiv w:val="1"/>
      <w:marLeft w:val="0"/>
      <w:marRight w:val="0"/>
      <w:marTop w:val="0"/>
      <w:marBottom w:val="0"/>
      <w:divBdr>
        <w:top w:val="none" w:sz="0" w:space="0" w:color="auto"/>
        <w:left w:val="none" w:sz="0" w:space="0" w:color="auto"/>
        <w:bottom w:val="none" w:sz="0" w:space="0" w:color="auto"/>
        <w:right w:val="none" w:sz="0" w:space="0" w:color="auto"/>
      </w:divBdr>
    </w:div>
    <w:div w:id="1829251645">
      <w:bodyDiv w:val="1"/>
      <w:marLeft w:val="0"/>
      <w:marRight w:val="0"/>
      <w:marTop w:val="0"/>
      <w:marBottom w:val="0"/>
      <w:divBdr>
        <w:top w:val="none" w:sz="0" w:space="0" w:color="auto"/>
        <w:left w:val="none" w:sz="0" w:space="0" w:color="auto"/>
        <w:bottom w:val="none" w:sz="0" w:space="0" w:color="auto"/>
        <w:right w:val="none" w:sz="0" w:space="0" w:color="auto"/>
      </w:divBdr>
    </w:div>
    <w:div w:id="1867667896">
      <w:bodyDiv w:val="1"/>
      <w:marLeft w:val="0"/>
      <w:marRight w:val="0"/>
      <w:marTop w:val="0"/>
      <w:marBottom w:val="0"/>
      <w:divBdr>
        <w:top w:val="none" w:sz="0" w:space="0" w:color="auto"/>
        <w:left w:val="none" w:sz="0" w:space="0" w:color="auto"/>
        <w:bottom w:val="none" w:sz="0" w:space="0" w:color="auto"/>
        <w:right w:val="none" w:sz="0" w:space="0" w:color="auto"/>
      </w:divBdr>
    </w:div>
    <w:div w:id="1870291086">
      <w:bodyDiv w:val="1"/>
      <w:marLeft w:val="0"/>
      <w:marRight w:val="0"/>
      <w:marTop w:val="0"/>
      <w:marBottom w:val="0"/>
      <w:divBdr>
        <w:top w:val="none" w:sz="0" w:space="0" w:color="auto"/>
        <w:left w:val="none" w:sz="0" w:space="0" w:color="auto"/>
        <w:bottom w:val="none" w:sz="0" w:space="0" w:color="auto"/>
        <w:right w:val="none" w:sz="0" w:space="0" w:color="auto"/>
      </w:divBdr>
    </w:div>
    <w:div w:id="1874419203">
      <w:bodyDiv w:val="1"/>
      <w:marLeft w:val="0"/>
      <w:marRight w:val="0"/>
      <w:marTop w:val="0"/>
      <w:marBottom w:val="0"/>
      <w:divBdr>
        <w:top w:val="none" w:sz="0" w:space="0" w:color="auto"/>
        <w:left w:val="none" w:sz="0" w:space="0" w:color="auto"/>
        <w:bottom w:val="none" w:sz="0" w:space="0" w:color="auto"/>
        <w:right w:val="none" w:sz="0" w:space="0" w:color="auto"/>
      </w:divBdr>
    </w:div>
    <w:div w:id="1905875567">
      <w:bodyDiv w:val="1"/>
      <w:marLeft w:val="0"/>
      <w:marRight w:val="0"/>
      <w:marTop w:val="0"/>
      <w:marBottom w:val="0"/>
      <w:divBdr>
        <w:top w:val="none" w:sz="0" w:space="0" w:color="auto"/>
        <w:left w:val="none" w:sz="0" w:space="0" w:color="auto"/>
        <w:bottom w:val="none" w:sz="0" w:space="0" w:color="auto"/>
        <w:right w:val="none" w:sz="0" w:space="0" w:color="auto"/>
      </w:divBdr>
    </w:div>
    <w:div w:id="1913999192">
      <w:bodyDiv w:val="1"/>
      <w:marLeft w:val="0"/>
      <w:marRight w:val="0"/>
      <w:marTop w:val="0"/>
      <w:marBottom w:val="0"/>
      <w:divBdr>
        <w:top w:val="none" w:sz="0" w:space="0" w:color="auto"/>
        <w:left w:val="none" w:sz="0" w:space="0" w:color="auto"/>
        <w:bottom w:val="none" w:sz="0" w:space="0" w:color="auto"/>
        <w:right w:val="none" w:sz="0" w:space="0" w:color="auto"/>
      </w:divBdr>
    </w:div>
    <w:div w:id="1926960859">
      <w:bodyDiv w:val="1"/>
      <w:marLeft w:val="0"/>
      <w:marRight w:val="0"/>
      <w:marTop w:val="0"/>
      <w:marBottom w:val="0"/>
      <w:divBdr>
        <w:top w:val="none" w:sz="0" w:space="0" w:color="auto"/>
        <w:left w:val="none" w:sz="0" w:space="0" w:color="auto"/>
        <w:bottom w:val="none" w:sz="0" w:space="0" w:color="auto"/>
        <w:right w:val="none" w:sz="0" w:space="0" w:color="auto"/>
      </w:divBdr>
    </w:div>
    <w:div w:id="1933779026">
      <w:bodyDiv w:val="1"/>
      <w:marLeft w:val="0"/>
      <w:marRight w:val="0"/>
      <w:marTop w:val="0"/>
      <w:marBottom w:val="0"/>
      <w:divBdr>
        <w:top w:val="none" w:sz="0" w:space="0" w:color="auto"/>
        <w:left w:val="none" w:sz="0" w:space="0" w:color="auto"/>
        <w:bottom w:val="none" w:sz="0" w:space="0" w:color="auto"/>
        <w:right w:val="none" w:sz="0" w:space="0" w:color="auto"/>
      </w:divBdr>
    </w:div>
    <w:div w:id="1984770591">
      <w:bodyDiv w:val="1"/>
      <w:marLeft w:val="0"/>
      <w:marRight w:val="0"/>
      <w:marTop w:val="0"/>
      <w:marBottom w:val="0"/>
      <w:divBdr>
        <w:top w:val="none" w:sz="0" w:space="0" w:color="auto"/>
        <w:left w:val="none" w:sz="0" w:space="0" w:color="auto"/>
        <w:bottom w:val="none" w:sz="0" w:space="0" w:color="auto"/>
        <w:right w:val="none" w:sz="0" w:space="0" w:color="auto"/>
      </w:divBdr>
    </w:div>
    <w:div w:id="2058123041">
      <w:bodyDiv w:val="1"/>
      <w:marLeft w:val="0"/>
      <w:marRight w:val="0"/>
      <w:marTop w:val="0"/>
      <w:marBottom w:val="0"/>
      <w:divBdr>
        <w:top w:val="none" w:sz="0" w:space="0" w:color="auto"/>
        <w:left w:val="none" w:sz="0" w:space="0" w:color="auto"/>
        <w:bottom w:val="none" w:sz="0" w:space="0" w:color="auto"/>
        <w:right w:val="none" w:sz="0" w:space="0" w:color="auto"/>
      </w:divBdr>
    </w:div>
    <w:div w:id="2064329356">
      <w:bodyDiv w:val="1"/>
      <w:marLeft w:val="0"/>
      <w:marRight w:val="0"/>
      <w:marTop w:val="0"/>
      <w:marBottom w:val="0"/>
      <w:divBdr>
        <w:top w:val="none" w:sz="0" w:space="0" w:color="auto"/>
        <w:left w:val="none" w:sz="0" w:space="0" w:color="auto"/>
        <w:bottom w:val="none" w:sz="0" w:space="0" w:color="auto"/>
        <w:right w:val="none" w:sz="0" w:space="0" w:color="auto"/>
      </w:divBdr>
    </w:div>
    <w:div w:id="2103794413">
      <w:bodyDiv w:val="1"/>
      <w:marLeft w:val="0"/>
      <w:marRight w:val="0"/>
      <w:marTop w:val="0"/>
      <w:marBottom w:val="0"/>
      <w:divBdr>
        <w:top w:val="none" w:sz="0" w:space="0" w:color="auto"/>
        <w:left w:val="none" w:sz="0" w:space="0" w:color="auto"/>
        <w:bottom w:val="none" w:sz="0" w:space="0" w:color="auto"/>
        <w:right w:val="none" w:sz="0" w:space="0" w:color="auto"/>
      </w:divBdr>
    </w:div>
    <w:div w:id="21446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b.mx/salud/prensa/317-nuevo-compendio-nacional-de-insumos-para-la-salu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ED2F-2817-40E6-8250-32D2DCF4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3612</Words>
  <Characters>19871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FINANCIEROS</cp:lastModifiedBy>
  <cp:revision>3</cp:revision>
  <cp:lastPrinted>2020-07-07T01:16:00Z</cp:lastPrinted>
  <dcterms:created xsi:type="dcterms:W3CDTF">2021-07-02T17:48:00Z</dcterms:created>
  <dcterms:modified xsi:type="dcterms:W3CDTF">2021-07-02T17:49:00Z</dcterms:modified>
</cp:coreProperties>
</file>